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Pr="003E4C33" w:rsidR="00CE544A" w:rsidTr="175C3AB3" w14:paraId="2F63F022" w14:textId="77777777">
        <w:tc>
          <w:tcPr>
            <w:tcW w:w="2438" w:type="dxa"/>
            <w:tcMar/>
          </w:tcPr>
          <w:p w:rsidRPr="003E4C33" w:rsidR="00F445B1" w:rsidP="004A6D2F" w:rsidRDefault="006B2DE1" w14:paraId="3B17A912" w14:textId="77777777">
            <w:pPr>
              <w:rPr>
                <w:rStyle w:val="Firstpagetablebold"/>
                <w:rFonts w:cs="Arial"/>
              </w:rPr>
            </w:pPr>
            <w:r w:rsidRPr="003E4C33">
              <w:rPr>
                <w:rStyle w:val="Firstpagetablebold"/>
                <w:rFonts w:cs="Arial"/>
              </w:rPr>
              <w:t>Decision type</w:t>
            </w:r>
            <w:r w:rsidRPr="003E4C33" w:rsidR="005C35A5">
              <w:rPr>
                <w:rStyle w:val="Firstpagetablebold"/>
                <w:rFonts w:cs="Arial"/>
              </w:rPr>
              <w:t>:</w:t>
            </w:r>
          </w:p>
        </w:tc>
        <w:tc>
          <w:tcPr>
            <w:tcW w:w="6406" w:type="dxa"/>
            <w:tcMar/>
          </w:tcPr>
          <w:p w:rsidRPr="003E4C33" w:rsidR="00F445B1" w:rsidP="004A6D2F" w:rsidRDefault="006B2DE1" w14:paraId="15BDDA14" w14:textId="22496622">
            <w:pPr>
              <w:rPr>
                <w:rStyle w:val="Firstpagetablebold"/>
                <w:rFonts w:cs="Arial"/>
              </w:rPr>
            </w:pPr>
            <w:r w:rsidRPr="003E4C33">
              <w:rPr>
                <w:rStyle w:val="Firstpagetablebold"/>
                <w:rFonts w:cs="Arial"/>
              </w:rPr>
              <w:t xml:space="preserve">Decision </w:t>
            </w:r>
            <w:r w:rsidRPr="003E4C33" w:rsidR="39A05735">
              <w:rPr>
                <w:rStyle w:val="Firstpagetablebold"/>
                <w:rFonts w:cs="Arial"/>
              </w:rPr>
              <w:t xml:space="preserve">Specifically </w:t>
            </w:r>
            <w:r w:rsidRPr="003E4C33">
              <w:rPr>
                <w:rStyle w:val="Firstpagetablebold"/>
                <w:rFonts w:cs="Arial"/>
              </w:rPr>
              <w:t>Delegated to Officers</w:t>
            </w:r>
          </w:p>
        </w:tc>
      </w:tr>
      <w:tr w:rsidRPr="003E4C33" w:rsidR="00CE544A" w:rsidTr="175C3AB3" w14:paraId="33BEC222" w14:textId="77777777">
        <w:tc>
          <w:tcPr>
            <w:tcW w:w="2438" w:type="dxa"/>
            <w:tcMar/>
          </w:tcPr>
          <w:p w:rsidRPr="003E4C33" w:rsidR="00F445B1" w:rsidP="004A6D2F" w:rsidRDefault="00F445B1" w14:paraId="28000B0A" w14:textId="77777777">
            <w:pPr>
              <w:rPr>
                <w:rStyle w:val="Firstpagetablebold"/>
                <w:rFonts w:cs="Arial"/>
              </w:rPr>
            </w:pPr>
            <w:r w:rsidRPr="003E4C33">
              <w:rPr>
                <w:rStyle w:val="Firstpagetablebold"/>
                <w:rFonts w:cs="Arial"/>
              </w:rPr>
              <w:t>D</w:t>
            </w:r>
            <w:r w:rsidRPr="003E4C33" w:rsidR="006B2DE1">
              <w:rPr>
                <w:rStyle w:val="Firstpagetablebold"/>
                <w:rFonts w:cs="Arial"/>
              </w:rPr>
              <w:t>ecision d</w:t>
            </w:r>
            <w:r w:rsidRPr="003E4C33">
              <w:rPr>
                <w:rStyle w:val="Firstpagetablebold"/>
                <w:rFonts w:cs="Arial"/>
              </w:rPr>
              <w:t>at</w:t>
            </w:r>
            <w:r w:rsidRPr="003E4C33" w:rsidR="005C35A5">
              <w:rPr>
                <w:rStyle w:val="Firstpagetablebold"/>
                <w:rFonts w:cs="Arial"/>
              </w:rPr>
              <w:t>e:</w:t>
            </w:r>
          </w:p>
        </w:tc>
        <w:tc>
          <w:tcPr>
            <w:tcW w:w="6406" w:type="dxa"/>
            <w:tcMar/>
          </w:tcPr>
          <w:p w:rsidRPr="00C55247" w:rsidR="00F445B1" w:rsidP="007B5CA2" w:rsidRDefault="00F445B1" w14:paraId="24B44B70" w14:textId="2BC76BEE">
            <w:pPr>
              <w:rPr>
                <w:rFonts w:cs="Arial"/>
                <w:b w:val="1"/>
                <w:bCs w:val="1"/>
                <w:color w:val="auto"/>
              </w:rPr>
            </w:pPr>
            <w:r w:rsidRPr="175C3AB3" w:rsidR="22227BEC">
              <w:rPr>
                <w:rFonts w:cs="Arial"/>
                <w:b w:val="1"/>
                <w:bCs w:val="1"/>
                <w:color w:val="auto"/>
              </w:rPr>
              <w:t>9 October 2025</w:t>
            </w:r>
          </w:p>
        </w:tc>
      </w:tr>
      <w:tr w:rsidRPr="003E4C33" w:rsidR="00CE544A" w:rsidTr="175C3AB3" w14:paraId="4976D647" w14:textId="77777777">
        <w:tc>
          <w:tcPr>
            <w:tcW w:w="2438" w:type="dxa"/>
            <w:tcMar/>
          </w:tcPr>
          <w:p w:rsidRPr="003E4C33" w:rsidR="00F445B1" w:rsidP="004A6D2F" w:rsidRDefault="006B2DE1" w14:paraId="382A5FE7" w14:textId="77777777">
            <w:pPr>
              <w:rPr>
                <w:rStyle w:val="Firstpagetablebold"/>
                <w:rFonts w:cs="Arial"/>
              </w:rPr>
            </w:pPr>
            <w:r w:rsidRPr="003E4C33">
              <w:rPr>
                <w:rStyle w:val="Firstpagetablebold"/>
                <w:rFonts w:cs="Arial"/>
              </w:rPr>
              <w:t>Decision maker</w:t>
            </w:r>
            <w:r w:rsidRPr="003E4C33" w:rsidR="005C35A5">
              <w:rPr>
                <w:rStyle w:val="Firstpagetablebold"/>
                <w:rFonts w:cs="Arial"/>
              </w:rPr>
              <w:t>:</w:t>
            </w:r>
          </w:p>
        </w:tc>
        <w:tc>
          <w:tcPr>
            <w:tcW w:w="6406" w:type="dxa"/>
            <w:tcMar/>
          </w:tcPr>
          <w:p w:rsidRPr="00C55247" w:rsidR="00F445B1" w:rsidP="2BB29E7E" w:rsidRDefault="00522AA8" w14:paraId="4CADFAAE" w14:textId="7F4CEC2C">
            <w:pPr>
              <w:rPr>
                <w:rStyle w:val="Firstpagetablebold"/>
                <w:rFonts w:cs="Arial"/>
                <w:b w:val="0"/>
                <w:color w:val="auto"/>
              </w:rPr>
            </w:pPr>
            <w:r>
              <w:rPr>
                <w:rStyle w:val="Firstpagetablebold"/>
                <w:rFonts w:cs="Arial"/>
                <w:b w:val="0"/>
                <w:color w:val="auto"/>
              </w:rPr>
              <w:t>Jane Winfield, Director of Property and Assets</w:t>
            </w:r>
          </w:p>
        </w:tc>
      </w:tr>
      <w:tr w:rsidRPr="003E4C33" w:rsidR="00CE544A" w:rsidTr="175C3AB3" w14:paraId="1CE13DCA" w14:textId="77777777">
        <w:tc>
          <w:tcPr>
            <w:tcW w:w="2438" w:type="dxa"/>
            <w:tcMar/>
          </w:tcPr>
          <w:p w:rsidRPr="003E4C33" w:rsidR="00F445B1" w:rsidP="004A6D2F" w:rsidRDefault="006B2DE1" w14:paraId="6F073F4D" w14:textId="77777777">
            <w:pPr>
              <w:rPr>
                <w:rStyle w:val="Firstpagetablebold"/>
                <w:rFonts w:cs="Arial"/>
              </w:rPr>
            </w:pPr>
            <w:r w:rsidRPr="003E4C33">
              <w:rPr>
                <w:rStyle w:val="Firstpagetablebold"/>
                <w:rFonts w:cs="Arial"/>
              </w:rPr>
              <w:t>Decision title</w:t>
            </w:r>
            <w:r w:rsidRPr="003E4C33" w:rsidR="00F445B1">
              <w:rPr>
                <w:rStyle w:val="Firstpagetablebold"/>
                <w:rFonts w:cs="Arial"/>
              </w:rPr>
              <w:t xml:space="preserve">: </w:t>
            </w:r>
          </w:p>
        </w:tc>
        <w:tc>
          <w:tcPr>
            <w:tcW w:w="6406" w:type="dxa"/>
            <w:tcMar/>
          </w:tcPr>
          <w:p w:rsidRPr="00C55247" w:rsidR="00F445B1" w:rsidP="6705CB2F" w:rsidRDefault="00522AA8" w14:paraId="04146131" w14:textId="5E2AB057">
            <w:pPr>
              <w:rPr>
                <w:rStyle w:val="Firstpagetablebold"/>
                <w:rFonts w:cs="Arial"/>
                <w:b w:val="0"/>
                <w:color w:val="auto"/>
              </w:rPr>
            </w:pPr>
            <w:r>
              <w:rPr>
                <w:rStyle w:val="Firstpagetablebold"/>
                <w:rFonts w:cs="Arial"/>
                <w:b w:val="0"/>
                <w:color w:val="auto"/>
              </w:rPr>
              <w:t xml:space="preserve">To sell the freehold title of Carfax Café, </w:t>
            </w:r>
            <w:r w:rsidR="00F25344">
              <w:t>Carfax Churchyard Gardens</w:t>
            </w:r>
            <w:r>
              <w:rPr>
                <w:rStyle w:val="Firstpagetablebold"/>
                <w:rFonts w:cs="Arial"/>
                <w:b w:val="0"/>
                <w:color w:val="auto"/>
              </w:rPr>
              <w:t>, Oxford</w:t>
            </w:r>
            <w:r w:rsidRPr="00C55247" w:rsidR="006C767F">
              <w:rPr>
                <w:rStyle w:val="Firstpagetablebold"/>
                <w:rFonts w:cs="Arial"/>
                <w:b w:val="0"/>
                <w:color w:val="auto"/>
              </w:rPr>
              <w:t xml:space="preserve"> </w:t>
            </w:r>
          </w:p>
        </w:tc>
      </w:tr>
    </w:tbl>
    <w:p w:rsidRPr="003E4C33" w:rsidR="004F20EF" w:rsidP="004A6D2F" w:rsidRDefault="004F20EF" w14:paraId="080C2F93" w14:textId="77777777">
      <w:pPr>
        <w:rPr>
          <w:rFonts w:cs="Arial"/>
        </w:rPr>
      </w:pPr>
    </w:p>
    <w:tbl>
      <w:tblPr>
        <w:tblW w:w="9409"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4A0" w:firstRow="1" w:lastRow="0" w:firstColumn="1" w:lastColumn="0" w:noHBand="0" w:noVBand="1"/>
      </w:tblPr>
      <w:tblGrid>
        <w:gridCol w:w="1905"/>
        <w:gridCol w:w="7504"/>
      </w:tblGrid>
      <w:tr w:rsidRPr="003E4C33" w:rsidR="00D5547E" w:rsidTr="175C3AB3" w14:paraId="7FD44099" w14:textId="77777777">
        <w:tc>
          <w:tcPr>
            <w:tcW w:w="9409" w:type="dxa"/>
            <w:gridSpan w:val="2"/>
            <w:tcBorders>
              <w:bottom w:val="single" w:color="000000" w:themeColor="text1" w:sz="8" w:space="0"/>
            </w:tcBorders>
            <w:tcMar/>
            <w:hideMark/>
          </w:tcPr>
          <w:p w:rsidRPr="003E4C33" w:rsidR="00D5547E" w:rsidP="00745BF0" w:rsidRDefault="00745BF0" w14:paraId="5689CEED" w14:textId="299E84BF">
            <w:pPr>
              <w:jc w:val="center"/>
              <w:rPr>
                <w:rStyle w:val="Firstpagetablebold"/>
                <w:rFonts w:cs="Arial"/>
              </w:rPr>
            </w:pPr>
            <w:r w:rsidRPr="003E4C33">
              <w:rPr>
                <w:rStyle w:val="Firstpagetablebold"/>
                <w:rFonts w:cs="Arial"/>
              </w:rPr>
              <w:t xml:space="preserve">Summary </w:t>
            </w:r>
          </w:p>
        </w:tc>
      </w:tr>
      <w:tr w:rsidRPr="003E4C33" w:rsidR="00D5547E" w:rsidTr="175C3AB3" w14:paraId="5A19916D" w14:textId="77777777">
        <w:tc>
          <w:tcPr>
            <w:tcW w:w="1905" w:type="dxa"/>
            <w:tcBorders>
              <w:top w:val="single" w:color="000000" w:themeColor="text1" w:sz="8" w:space="0"/>
              <w:left w:val="single" w:color="000000" w:themeColor="text1" w:sz="8" w:space="0"/>
              <w:bottom w:val="nil"/>
              <w:right w:val="nil"/>
            </w:tcBorders>
            <w:tcMar/>
            <w:hideMark/>
          </w:tcPr>
          <w:p w:rsidRPr="003E4C33" w:rsidR="00D5547E" w:rsidP="00523261" w:rsidRDefault="006C767F" w14:paraId="0CBF1A02" w14:textId="75CA1B6E">
            <w:pPr>
              <w:rPr>
                <w:rStyle w:val="Firstpagetablebold"/>
                <w:rFonts w:cs="Arial"/>
              </w:rPr>
            </w:pPr>
            <w:r w:rsidRPr="003E4C33">
              <w:rPr>
                <w:rStyle w:val="Firstpagetablebold"/>
                <w:rFonts w:cs="Arial"/>
              </w:rPr>
              <w:t>Decision being taken</w:t>
            </w:r>
            <w:r w:rsidRPr="003E4C33" w:rsidR="00D5547E">
              <w:rPr>
                <w:rStyle w:val="Firstpagetablebold"/>
                <w:rFonts w:cs="Arial"/>
              </w:rPr>
              <w:t>:</w:t>
            </w:r>
          </w:p>
        </w:tc>
        <w:tc>
          <w:tcPr>
            <w:tcW w:w="7504" w:type="dxa"/>
            <w:tcBorders>
              <w:top w:val="single" w:color="000000" w:themeColor="text1" w:sz="8" w:space="0"/>
              <w:left w:val="nil"/>
              <w:bottom w:val="nil"/>
              <w:right w:val="single" w:color="000000" w:themeColor="text1" w:sz="8" w:space="0"/>
            </w:tcBorders>
            <w:tcMar/>
            <w:hideMark/>
          </w:tcPr>
          <w:p w:rsidRPr="00C55247" w:rsidR="00D5547E" w:rsidP="2BB29E7E" w:rsidRDefault="00522AA8" w14:paraId="1A556BE9" w14:textId="13BF1DF5">
            <w:pPr>
              <w:rPr>
                <w:rFonts w:cs="Arial"/>
                <w:color w:val="auto"/>
              </w:rPr>
            </w:pPr>
            <w:r>
              <w:rPr>
                <w:rFonts w:cs="Arial"/>
                <w:color w:val="auto"/>
              </w:rPr>
              <w:t>D</w:t>
            </w:r>
            <w:r>
              <w:t>ecision to dispose of the freehold title of Carfax Café, C</w:t>
            </w:r>
            <w:r w:rsidR="00F25344">
              <w:t>arfax Churchyard Gardens</w:t>
            </w:r>
            <w:r>
              <w:t xml:space="preserve">, Oxford. </w:t>
            </w:r>
          </w:p>
        </w:tc>
      </w:tr>
      <w:tr w:rsidRPr="003E4C33" w:rsidR="00D5547E" w:rsidTr="175C3AB3" w14:paraId="14C2CC29" w14:textId="77777777">
        <w:tc>
          <w:tcPr>
            <w:tcW w:w="1905" w:type="dxa"/>
            <w:tcBorders>
              <w:top w:val="nil"/>
              <w:left w:val="single" w:color="000000" w:themeColor="text1" w:sz="8" w:space="0"/>
              <w:bottom w:val="nil"/>
              <w:right w:val="nil"/>
            </w:tcBorders>
            <w:tcMar/>
            <w:hideMark/>
          </w:tcPr>
          <w:p w:rsidRPr="003E4C33" w:rsidR="00D5547E" w:rsidRDefault="00D5547E" w14:paraId="21ECDCE3" w14:textId="77777777">
            <w:pPr>
              <w:rPr>
                <w:rStyle w:val="Firstpagetablebold"/>
                <w:rFonts w:cs="Arial"/>
              </w:rPr>
            </w:pPr>
            <w:r w:rsidRPr="003E4C33">
              <w:rPr>
                <w:rStyle w:val="Firstpagetablebold"/>
                <w:rFonts w:cs="Arial"/>
              </w:rPr>
              <w:t>Key decision:</w:t>
            </w:r>
          </w:p>
        </w:tc>
        <w:tc>
          <w:tcPr>
            <w:tcW w:w="7504" w:type="dxa"/>
            <w:tcBorders>
              <w:top w:val="nil"/>
              <w:left w:val="nil"/>
              <w:bottom w:val="nil"/>
              <w:right w:val="single" w:color="000000" w:themeColor="text1" w:sz="8" w:space="0"/>
            </w:tcBorders>
            <w:tcMar/>
            <w:hideMark/>
          </w:tcPr>
          <w:p w:rsidR="00522AA8" w:rsidP="2BB29E7E" w:rsidRDefault="657286C4" w14:paraId="3B7CC3FF" w14:textId="77777777">
            <w:pPr>
              <w:rPr>
                <w:rFonts w:cs="Arial"/>
                <w:color w:val="auto"/>
              </w:rPr>
            </w:pPr>
            <w:r w:rsidRPr="00C55247">
              <w:rPr>
                <w:rFonts w:cs="Arial"/>
                <w:color w:val="auto"/>
              </w:rPr>
              <w:t>Yes</w:t>
            </w:r>
            <w:r w:rsidR="00522AA8">
              <w:rPr>
                <w:rFonts w:cs="Arial"/>
                <w:color w:val="auto"/>
              </w:rPr>
              <w:t>.</w:t>
            </w:r>
          </w:p>
          <w:p w:rsidRPr="00C55247" w:rsidR="00D5547E" w:rsidP="2BB29E7E" w:rsidRDefault="00294B3A" w14:paraId="16E2C596" w14:textId="17062EC0">
            <w:pPr>
              <w:rPr>
                <w:rFonts w:cs="Arial"/>
                <w:color w:val="auto"/>
              </w:rPr>
            </w:pPr>
            <w:hyperlink w:history="1" r:id="rId11">
              <w:r w:rsidRPr="00C80D57" w:rsidR="00E65486">
                <w:rPr>
                  <w:rStyle w:val="Hyperlink"/>
                  <w:rFonts w:cs="Arial"/>
                </w:rPr>
                <w:t>https://mycouncil.oxford.gov.uk/mgIssueHistoryHome.aspx?IId=40405&amp;PlanId=537&amp;RPID=43283240</w:t>
              </w:r>
            </w:hyperlink>
            <w:r w:rsidR="00E65486">
              <w:rPr>
                <w:rFonts w:cs="Arial"/>
                <w:color w:val="FF0000"/>
              </w:rPr>
              <w:t xml:space="preserve"> </w:t>
            </w:r>
          </w:p>
        </w:tc>
      </w:tr>
      <w:tr w:rsidRPr="003E4C33" w:rsidR="006B2DE1" w:rsidTr="175C3AB3" w14:paraId="631D49A6" w14:textId="77777777">
        <w:tc>
          <w:tcPr>
            <w:tcW w:w="1905" w:type="dxa"/>
            <w:tcBorders>
              <w:top w:val="nil"/>
              <w:left w:val="single" w:color="000000" w:themeColor="text1" w:sz="8" w:space="0"/>
              <w:bottom w:val="nil"/>
              <w:right w:val="nil"/>
            </w:tcBorders>
            <w:tcMar/>
          </w:tcPr>
          <w:p w:rsidRPr="00A5227F" w:rsidR="006B2DE1" w:rsidRDefault="006B2DE1" w14:paraId="17BC101D" w14:textId="77777777">
            <w:pPr>
              <w:rPr>
                <w:rStyle w:val="Firstpagetablebold"/>
                <w:rFonts w:cs="Arial"/>
              </w:rPr>
            </w:pPr>
            <w:r w:rsidRPr="00A5227F">
              <w:rPr>
                <w:rStyle w:val="Firstpagetablebold"/>
                <w:rFonts w:cs="Arial"/>
              </w:rPr>
              <w:t>Source of delegation:</w:t>
            </w:r>
          </w:p>
        </w:tc>
        <w:tc>
          <w:tcPr>
            <w:tcW w:w="7504" w:type="dxa"/>
            <w:tcBorders>
              <w:top w:val="nil"/>
              <w:left w:val="nil"/>
              <w:bottom w:val="nil"/>
              <w:right w:val="single" w:color="000000" w:themeColor="text1" w:sz="8" w:space="0"/>
            </w:tcBorders>
            <w:tcMar/>
          </w:tcPr>
          <w:p w:rsidR="006B2DE1" w:rsidP="003E4C33" w:rsidRDefault="00A5227F" w14:paraId="33F7217B" w14:textId="77777777">
            <w:pPr>
              <w:rPr>
                <w:rFonts w:cs="Arial"/>
                <w:color w:val="auto"/>
              </w:rPr>
            </w:pPr>
            <w:r>
              <w:rPr>
                <w:rFonts w:cs="Arial"/>
                <w:color w:val="auto"/>
              </w:rPr>
              <w:t>Cabinet Meeting Wednesday 17</w:t>
            </w:r>
            <w:r w:rsidRPr="00A5227F">
              <w:rPr>
                <w:rFonts w:cs="Arial"/>
                <w:color w:val="auto"/>
                <w:vertAlign w:val="superscript"/>
              </w:rPr>
              <w:t>th</w:t>
            </w:r>
            <w:r>
              <w:rPr>
                <w:rFonts w:cs="Arial"/>
                <w:color w:val="auto"/>
              </w:rPr>
              <w:t xml:space="preserve"> September</w:t>
            </w:r>
          </w:p>
          <w:p w:rsidRPr="00C55247" w:rsidR="00A5227F" w:rsidP="003E4C33" w:rsidRDefault="00294B3A" w14:paraId="24C2E022" w14:textId="70FF35A7">
            <w:pPr>
              <w:rPr>
                <w:rFonts w:cs="Arial"/>
                <w:color w:val="auto"/>
              </w:rPr>
            </w:pPr>
            <w:hyperlink w:history="1" r:id="rId12">
              <w:r w:rsidRPr="00195292" w:rsidR="00195292">
                <w:rPr>
                  <w:rStyle w:val="Hyperlink"/>
                  <w:rFonts w:cs="Arial"/>
                </w:rPr>
                <w:t>Decision sheet details on public web site</w:t>
              </w:r>
            </w:hyperlink>
          </w:p>
        </w:tc>
      </w:tr>
      <w:tr w:rsidRPr="003E4C33" w:rsidR="00E508A1" w:rsidTr="175C3AB3" w14:paraId="271E719F" w14:textId="77777777">
        <w:tc>
          <w:tcPr>
            <w:tcW w:w="1905" w:type="dxa"/>
            <w:tcBorders>
              <w:top w:val="nil"/>
              <w:left w:val="single" w:color="000000" w:themeColor="text1" w:sz="8" w:space="0"/>
              <w:bottom w:val="nil"/>
              <w:right w:val="nil"/>
            </w:tcBorders>
            <w:tcMar/>
          </w:tcPr>
          <w:p w:rsidRPr="003E4C33" w:rsidR="00E508A1" w:rsidP="00E508A1" w:rsidRDefault="00E508A1" w14:paraId="1A335B57" w14:textId="576239ED">
            <w:pPr>
              <w:rPr>
                <w:rStyle w:val="Firstpagetablebold"/>
                <w:rFonts w:cs="Arial"/>
              </w:rPr>
            </w:pPr>
            <w:r>
              <w:rPr>
                <w:rStyle w:val="Firstpagetablebold"/>
              </w:rPr>
              <w:t>Cabinet Member:</w:t>
            </w:r>
          </w:p>
        </w:tc>
        <w:tc>
          <w:tcPr>
            <w:tcW w:w="7504" w:type="dxa"/>
            <w:tcBorders>
              <w:top w:val="nil"/>
              <w:left w:val="nil"/>
              <w:bottom w:val="nil"/>
              <w:right w:val="single" w:color="000000" w:themeColor="text1" w:sz="8" w:space="0"/>
            </w:tcBorders>
            <w:tcMar/>
          </w:tcPr>
          <w:p w:rsidRPr="00C55247" w:rsidR="00E508A1" w:rsidP="00E508A1" w:rsidRDefault="00522AA8" w14:paraId="3F43CD0E" w14:textId="29F114AF">
            <w:pPr>
              <w:rPr>
                <w:rFonts w:cs="Arial"/>
                <w:color w:val="auto"/>
              </w:rPr>
            </w:pPr>
            <w:r>
              <w:rPr>
                <w:color w:val="auto"/>
              </w:rPr>
              <w:t>Councillor Ed Turner, Deputy Leader (Statutory) – Finance and Asset Management</w:t>
            </w:r>
          </w:p>
        </w:tc>
      </w:tr>
      <w:tr w:rsidRPr="003E4C33" w:rsidR="00E508A1" w:rsidTr="175C3AB3" w14:paraId="7239C84D" w14:textId="77777777">
        <w:tc>
          <w:tcPr>
            <w:tcW w:w="1905" w:type="dxa"/>
            <w:tcBorders>
              <w:top w:val="nil"/>
              <w:left w:val="single" w:color="000000" w:themeColor="text1" w:sz="8" w:space="0"/>
              <w:bottom w:val="nil"/>
              <w:right w:val="nil"/>
            </w:tcBorders>
            <w:tcMar/>
          </w:tcPr>
          <w:p w:rsidRPr="003E4C33" w:rsidR="00E508A1" w:rsidP="00E508A1" w:rsidRDefault="00E508A1" w14:paraId="69154EA3" w14:textId="5398B245">
            <w:pPr>
              <w:rPr>
                <w:rStyle w:val="Firstpagetablebold"/>
                <w:rFonts w:cs="Arial"/>
              </w:rPr>
            </w:pPr>
            <w:r>
              <w:rPr>
                <w:rStyle w:val="Firstpagetablebold"/>
              </w:rPr>
              <w:t>Corporate Priority:</w:t>
            </w:r>
          </w:p>
        </w:tc>
        <w:tc>
          <w:tcPr>
            <w:tcW w:w="7504" w:type="dxa"/>
            <w:tcBorders>
              <w:top w:val="nil"/>
              <w:left w:val="nil"/>
              <w:bottom w:val="nil"/>
              <w:right w:val="single" w:color="000000" w:themeColor="text1" w:sz="8" w:space="0"/>
            </w:tcBorders>
            <w:tcMar/>
          </w:tcPr>
          <w:p w:rsidRPr="00C55247" w:rsidR="00E508A1" w:rsidP="00E508A1" w:rsidRDefault="00522AA8" w14:paraId="7176B63A" w14:textId="5D74EFBF">
            <w:pPr>
              <w:rPr>
                <w:rFonts w:cs="Arial"/>
                <w:color w:val="auto"/>
              </w:rPr>
            </w:pPr>
            <w:r>
              <w:rPr>
                <w:color w:val="auto"/>
              </w:rPr>
              <w:t>Enabling an Inclusive Economy</w:t>
            </w:r>
          </w:p>
        </w:tc>
      </w:tr>
      <w:tr w:rsidRPr="003E4C33" w:rsidR="00E508A1" w:rsidTr="175C3AB3" w14:paraId="7C13F173" w14:textId="77777777">
        <w:tc>
          <w:tcPr>
            <w:tcW w:w="1905" w:type="dxa"/>
            <w:tcBorders>
              <w:top w:val="nil"/>
              <w:left w:val="single" w:color="000000" w:themeColor="text1" w:sz="8" w:space="0"/>
              <w:bottom w:val="single" w:color="auto" w:sz="4" w:space="0"/>
              <w:right w:val="nil"/>
            </w:tcBorders>
            <w:tcMar/>
          </w:tcPr>
          <w:p w:rsidRPr="003E4C33" w:rsidR="00E508A1" w:rsidP="00E508A1" w:rsidRDefault="00E508A1" w14:paraId="03C588C4" w14:textId="0F96CD21">
            <w:pPr>
              <w:rPr>
                <w:rStyle w:val="Firstpagetablebold"/>
                <w:rFonts w:cs="Arial"/>
              </w:rPr>
            </w:pPr>
            <w:r>
              <w:rPr>
                <w:rStyle w:val="Firstpagetablebold"/>
              </w:rPr>
              <w:t>Policy Framework:</w:t>
            </w:r>
          </w:p>
        </w:tc>
        <w:tc>
          <w:tcPr>
            <w:tcW w:w="7504" w:type="dxa"/>
            <w:tcBorders>
              <w:top w:val="nil"/>
              <w:left w:val="nil"/>
              <w:bottom w:val="single" w:color="auto" w:sz="4" w:space="0"/>
              <w:right w:val="single" w:color="000000" w:themeColor="text1" w:sz="8" w:space="0"/>
            </w:tcBorders>
            <w:tcMar/>
          </w:tcPr>
          <w:p w:rsidRPr="00C55247" w:rsidR="00E508A1" w:rsidP="00E508A1" w:rsidRDefault="00522AA8" w14:paraId="4C1C7DD3" w14:textId="2B7F2B8F">
            <w:pPr>
              <w:rPr>
                <w:rFonts w:cs="Arial"/>
                <w:color w:val="auto"/>
              </w:rPr>
            </w:pPr>
            <w:r>
              <w:rPr>
                <w:color w:val="auto"/>
              </w:rPr>
              <w:t>Asset Management Strategy</w:t>
            </w:r>
          </w:p>
        </w:tc>
      </w:tr>
    </w:tbl>
    <w:p w:rsidR="00CE544A" w:rsidP="004A6D2F" w:rsidRDefault="00CE544A" w14:paraId="759F4236" w14:textId="77777777">
      <w:pPr>
        <w:rPr>
          <w:rFonts w:cs="Arial"/>
        </w:rPr>
      </w:pPr>
    </w:p>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340B77" w:rsidTr="00FD0B08" w14:paraId="6AB9E16B" w14:textId="77777777">
        <w:trPr>
          <w:trHeight w:val="413"/>
        </w:trPr>
        <w:tc>
          <w:tcPr>
            <w:tcW w:w="8845" w:type="dxa"/>
            <w:gridSpan w:val="2"/>
            <w:tcBorders>
              <w:bottom w:val="single" w:color="000000" w:sz="8" w:space="0"/>
            </w:tcBorders>
          </w:tcPr>
          <w:p w:rsidRPr="00975B07" w:rsidR="00340B77" w:rsidP="00FD0B08" w:rsidRDefault="00635E3E" w14:paraId="39BB8A6A" w14:textId="05B42DD7">
            <w:r>
              <w:t>The</w:t>
            </w:r>
            <w:r w:rsidR="00522AA8">
              <w:rPr>
                <w:rStyle w:val="Firstpagetablebold"/>
                <w:rFonts w:cs="Arial"/>
                <w:b w:val="0"/>
                <w:color w:val="auto"/>
              </w:rPr>
              <w:t xml:space="preserve"> Director of Property and Assets</w:t>
            </w:r>
            <w:r w:rsidR="00522AA8">
              <w:t xml:space="preserve"> </w:t>
            </w:r>
            <w:r>
              <w:t xml:space="preserve">decides as follows: </w:t>
            </w:r>
          </w:p>
        </w:tc>
      </w:tr>
      <w:tr w:rsidRPr="00975B07" w:rsidR="00340B77" w:rsidTr="00522AA8" w14:paraId="1817F3CE" w14:textId="77777777">
        <w:trPr>
          <w:trHeight w:val="283"/>
        </w:trPr>
        <w:tc>
          <w:tcPr>
            <w:tcW w:w="426" w:type="dxa"/>
            <w:tcBorders>
              <w:top w:val="single" w:color="000000" w:sz="8" w:space="0"/>
              <w:left w:val="single" w:color="000000" w:sz="8" w:space="0"/>
              <w:bottom w:val="single" w:color="auto" w:sz="4" w:space="0"/>
              <w:right w:val="nil"/>
            </w:tcBorders>
          </w:tcPr>
          <w:p w:rsidRPr="00522AA8" w:rsidR="00340B77" w:rsidP="00FD0B08" w:rsidRDefault="00340B77" w14:paraId="7809A8B3" w14:textId="77777777">
            <w:r w:rsidRPr="00522AA8">
              <w:t>1.</w:t>
            </w:r>
          </w:p>
        </w:tc>
        <w:tc>
          <w:tcPr>
            <w:tcW w:w="8419" w:type="dxa"/>
            <w:tcBorders>
              <w:top w:val="single" w:color="000000" w:sz="8" w:space="0"/>
              <w:left w:val="nil"/>
              <w:bottom w:val="single" w:color="auto" w:sz="4" w:space="0"/>
              <w:right w:val="single" w:color="000000" w:sz="8" w:space="0"/>
            </w:tcBorders>
          </w:tcPr>
          <w:p w:rsidRPr="00522AA8" w:rsidR="00340B77" w:rsidP="00FD0B08" w:rsidRDefault="001317AE" w14:paraId="2599CB46" w14:textId="0A733A7F">
            <w:r>
              <w:t xml:space="preserve">To consider any comments received through the consultation pursuant to section 123 (2A) of the Local Government Act 1972 following a </w:t>
            </w:r>
            <w:proofErr w:type="gramStart"/>
            <w:r>
              <w:t>statutory  advertisement</w:t>
            </w:r>
            <w:proofErr w:type="gramEnd"/>
            <w:r>
              <w:t xml:space="preserve"> for disposal of open space and if considered  appropriate following consideration of any comments and or objections  agree the final sale terms and dispose of the freehold title.</w:t>
            </w:r>
          </w:p>
        </w:tc>
      </w:tr>
    </w:tbl>
    <w:p w:rsidR="00340B77" w:rsidP="004A6D2F" w:rsidRDefault="00340B77" w14:paraId="161FC716" w14:textId="77777777"/>
    <w:p w:rsidRPr="003E4C33" w:rsidR="00340B77" w:rsidP="004A6D2F" w:rsidRDefault="00340B77" w14:paraId="20640FB6" w14:textId="77777777">
      <w:pPr>
        <w:rPr>
          <w:rFonts w:cs="Arial"/>
        </w:rPr>
      </w:pPr>
    </w:p>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4A39C3" w:rsidTr="6705CB2F" w14:paraId="1B1B668F" w14:textId="77777777">
        <w:trPr>
          <w:trHeight w:val="300"/>
        </w:trPr>
        <w:tc>
          <w:tcPr>
            <w:tcW w:w="1912" w:type="dxa"/>
            <w:tcBorders>
              <w:bottom w:val="single" w:color="auto" w:sz="4" w:space="0"/>
            </w:tcBorders>
          </w:tcPr>
          <w:p w:rsidRPr="003E4C33" w:rsidR="004A39C3" w:rsidP="004D7DC7" w:rsidRDefault="004A39C3" w14:paraId="074FB3AC" w14:textId="4B24A879">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4A39C3" w:rsidP="004D7DC7" w:rsidRDefault="004A39C3" w14:paraId="17AC6EFC" w14:textId="287FF34B">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4A39C3" w:rsidP="004D7DC7" w:rsidRDefault="004A39C3" w14:paraId="3F542BA6" w14:textId="3D79D3D9">
            <w:pPr>
              <w:jc w:val="center"/>
              <w:rPr>
                <w:rStyle w:val="Firstpagetablebold"/>
                <w:rFonts w:cs="Arial"/>
              </w:rPr>
            </w:pPr>
            <w:r>
              <w:rPr>
                <w:rStyle w:val="Firstpagetablebold"/>
                <w:rFonts w:cs="Arial"/>
              </w:rPr>
              <w:t>Exempt from Publication</w:t>
            </w:r>
          </w:p>
        </w:tc>
      </w:tr>
      <w:tr w:rsidRPr="003E4C33" w:rsidR="006E1FA1" w:rsidTr="6705CB2F" w14:paraId="65A82881"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C55247" w:rsidR="006E1FA1" w:rsidP="004D7DC7" w:rsidRDefault="006E1FA1" w14:paraId="141C8FF5" w14:textId="016E90DC">
            <w:pPr>
              <w:rPr>
                <w:rStyle w:val="Firstpagetablebold"/>
                <w:rFonts w:cs="Arial"/>
                <w:color w:val="auto"/>
              </w:rPr>
            </w:pPr>
            <w:r w:rsidRPr="00C55247">
              <w:rPr>
                <w:rStyle w:val="Firstpagetablebold"/>
                <w:rFonts w:cs="Arial"/>
                <w:color w:val="auto"/>
              </w:rPr>
              <w:t>Appendix 1</w:t>
            </w:r>
          </w:p>
        </w:tc>
        <w:tc>
          <w:tcPr>
            <w:tcW w:w="2803" w:type="dxa"/>
            <w:tcBorders>
              <w:top w:val="single" w:color="auto" w:sz="4" w:space="0"/>
              <w:left w:val="single" w:color="auto" w:sz="4" w:space="0"/>
              <w:bottom w:val="single" w:color="auto" w:sz="4" w:space="0"/>
              <w:right w:val="single" w:color="auto" w:sz="4" w:space="0"/>
            </w:tcBorders>
          </w:tcPr>
          <w:p w:rsidRPr="00C55247" w:rsidR="006E1FA1" w:rsidP="00AE262E" w:rsidRDefault="00522AA8" w14:paraId="012A0FE8" w14:textId="5D846D41">
            <w:pPr>
              <w:rPr>
                <w:rFonts w:cs="Arial"/>
                <w:color w:val="auto"/>
              </w:rPr>
            </w:pPr>
            <w:r>
              <w:rPr>
                <w:rFonts w:cs="Arial"/>
                <w:color w:val="auto"/>
              </w:rPr>
              <w:t>Exempt Appendix 1 – Sale terms and financial implications</w:t>
            </w:r>
          </w:p>
        </w:tc>
        <w:tc>
          <w:tcPr>
            <w:tcW w:w="4455" w:type="dxa"/>
            <w:tcBorders>
              <w:top w:val="single" w:color="auto" w:sz="4" w:space="0"/>
              <w:left w:val="single" w:color="auto" w:sz="4" w:space="0"/>
              <w:bottom w:val="single" w:color="auto" w:sz="4" w:space="0"/>
              <w:right w:val="single" w:color="auto" w:sz="4" w:space="0"/>
            </w:tcBorders>
          </w:tcPr>
          <w:p w:rsidRPr="00C55247" w:rsidR="006E1FA1" w:rsidP="004A39C3" w:rsidRDefault="004A39C3" w14:paraId="2B561EF1" w14:textId="77B8AAEC">
            <w:pPr>
              <w:ind w:left="426" w:hanging="426"/>
              <w:rPr>
                <w:color w:val="auto"/>
              </w:rPr>
            </w:pPr>
            <w:r w:rsidRPr="00C55247">
              <w:rPr>
                <w:color w:val="auto"/>
              </w:rPr>
              <w:t>Yes</w:t>
            </w:r>
          </w:p>
          <w:p w:rsidRPr="00C55247" w:rsidR="004A39C3" w:rsidP="004A39C3" w:rsidRDefault="5C2B989B" w14:paraId="72A6B41A" w14:textId="43EF24AC">
            <w:pPr>
              <w:rPr>
                <w:rFonts w:cs="Arial"/>
                <w:color w:val="auto"/>
              </w:rPr>
            </w:pPr>
            <w:r w:rsidRPr="00C55247">
              <w:rPr>
                <w:rFonts w:cs="Arial"/>
                <w:color w:val="auto"/>
              </w:rPr>
              <w:lastRenderedPageBreak/>
              <w:t>This information is exempted from publication under Schedule 12A to the Local Government Act 1972</w:t>
            </w:r>
            <w:r w:rsidRPr="00C55247" w:rsidR="7ECA0CCF">
              <w:rPr>
                <w:rFonts w:cs="Arial"/>
                <w:color w:val="auto"/>
              </w:rPr>
              <w:t xml:space="preserve"> since it </w:t>
            </w:r>
            <w:r w:rsidRPr="00C55247">
              <w:rPr>
                <w:rFonts w:cs="Arial"/>
                <w:color w:val="auto"/>
              </w:rPr>
              <w:t>is:</w:t>
            </w:r>
          </w:p>
          <w:p w:rsidRPr="00C55247" w:rsidR="004A39C3" w:rsidP="004A39C3" w:rsidRDefault="004A39C3" w14:paraId="695C2EE9" w14:textId="77777777">
            <w:pPr>
              <w:pStyle w:val="ListParagraph"/>
              <w:numPr>
                <w:ilvl w:val="0"/>
                <w:numId w:val="41"/>
              </w:numPr>
              <w:rPr>
                <w:rFonts w:cs="Arial"/>
                <w:color w:val="auto"/>
              </w:rPr>
            </w:pPr>
            <w:r w:rsidRPr="00C55247">
              <w:rPr>
                <w:rFonts w:cs="Arial"/>
                <w:color w:val="auto"/>
              </w:rPr>
              <w:t xml:space="preserve">Information about individuals </w:t>
            </w:r>
          </w:p>
          <w:p w:rsidRPr="00522AA8" w:rsidR="004A39C3" w:rsidP="00522AA8" w:rsidRDefault="004A39C3" w14:paraId="26CB7083" w14:textId="24A9F483">
            <w:pPr>
              <w:pStyle w:val="ListParagraph"/>
              <w:numPr>
                <w:ilvl w:val="0"/>
                <w:numId w:val="41"/>
              </w:numPr>
              <w:rPr>
                <w:rFonts w:cs="Arial"/>
                <w:color w:val="auto"/>
              </w:rPr>
            </w:pPr>
            <w:r w:rsidRPr="00C55247">
              <w:rPr>
                <w:rFonts w:cs="Arial"/>
                <w:color w:val="auto"/>
              </w:rPr>
              <w:t xml:space="preserve">Information about someone’s finances or business </w:t>
            </w:r>
          </w:p>
        </w:tc>
      </w:tr>
      <w:tr w:rsidRPr="003E4C33" w:rsidR="006E1FA1" w:rsidTr="6705CB2F" w14:paraId="3B1E005F" w14:textId="77777777">
        <w:trPr>
          <w:trHeight w:val="300"/>
        </w:trPr>
        <w:tc>
          <w:tcPr>
            <w:tcW w:w="1912" w:type="dxa"/>
            <w:tcBorders>
              <w:top w:val="single" w:color="auto" w:sz="4" w:space="0"/>
              <w:left w:val="single" w:color="000000" w:themeColor="text1" w:sz="8" w:space="0"/>
              <w:bottom w:val="single" w:color="auto" w:sz="4" w:space="0"/>
              <w:right w:val="single" w:color="auto" w:sz="4" w:space="0"/>
            </w:tcBorders>
          </w:tcPr>
          <w:p w:rsidRPr="00C55247" w:rsidR="006E1FA1" w:rsidP="0BC4DFF5" w:rsidRDefault="00764BAF" w14:paraId="7F26D1AC" w14:textId="648269A5">
            <w:pPr>
              <w:rPr>
                <w:rStyle w:val="Firstpagetablebold"/>
                <w:rFonts w:cs="Arial"/>
                <w:color w:val="auto"/>
              </w:rPr>
            </w:pPr>
            <w:r w:rsidRPr="00C55247">
              <w:rPr>
                <w:rStyle w:val="Firstpagetablebold"/>
                <w:rFonts w:cs="Arial"/>
                <w:color w:val="auto"/>
              </w:rPr>
              <w:lastRenderedPageBreak/>
              <w:t xml:space="preserve">Appendix 2 </w:t>
            </w:r>
          </w:p>
        </w:tc>
        <w:tc>
          <w:tcPr>
            <w:tcW w:w="2803" w:type="dxa"/>
            <w:tcBorders>
              <w:top w:val="single" w:color="auto" w:sz="4" w:space="0"/>
              <w:left w:val="single" w:color="auto" w:sz="4" w:space="0"/>
              <w:bottom w:val="single" w:color="auto" w:sz="4" w:space="0"/>
              <w:right w:val="single" w:color="auto" w:sz="4" w:space="0"/>
            </w:tcBorders>
          </w:tcPr>
          <w:p w:rsidRPr="00C55247" w:rsidR="006E1FA1" w:rsidP="0BC4DFF5" w:rsidRDefault="00522AA8" w14:paraId="327FA8BD" w14:textId="6281BF48">
            <w:pPr>
              <w:rPr>
                <w:rFonts w:cs="Arial"/>
                <w:color w:val="auto"/>
              </w:rPr>
            </w:pPr>
            <w:r>
              <w:rPr>
                <w:rFonts w:cs="Arial"/>
                <w:color w:val="auto"/>
              </w:rPr>
              <w:t>Risk Register</w:t>
            </w:r>
          </w:p>
        </w:tc>
        <w:tc>
          <w:tcPr>
            <w:tcW w:w="4455" w:type="dxa"/>
            <w:tcBorders>
              <w:top w:val="single" w:color="auto" w:sz="4" w:space="0"/>
              <w:left w:val="single" w:color="auto" w:sz="4" w:space="0"/>
              <w:bottom w:val="single" w:color="auto" w:sz="4" w:space="0"/>
              <w:right w:val="single" w:color="000000" w:themeColor="text1" w:sz="8" w:space="0"/>
            </w:tcBorders>
          </w:tcPr>
          <w:p w:rsidRPr="00C55247" w:rsidR="006E1FA1" w:rsidP="004A39C3" w:rsidRDefault="00522AA8" w14:paraId="41AD9445" w14:textId="7E3E59A1">
            <w:pPr>
              <w:rPr>
                <w:rFonts w:cs="Arial"/>
                <w:color w:val="auto"/>
              </w:rPr>
            </w:pPr>
            <w:r>
              <w:rPr>
                <w:rFonts w:cs="Arial"/>
                <w:color w:val="auto"/>
              </w:rPr>
              <w:t>No</w:t>
            </w:r>
          </w:p>
        </w:tc>
      </w:tr>
    </w:tbl>
    <w:p w:rsidRPr="003E4C33" w:rsidR="0040736F" w:rsidP="004A6D2F" w:rsidRDefault="00F66DCA" w14:paraId="464A13D2" w14:textId="72C968EF">
      <w:pPr>
        <w:pStyle w:val="Heading1"/>
        <w:rPr>
          <w:rFonts w:cs="Arial"/>
        </w:rPr>
      </w:pPr>
      <w:r w:rsidRPr="003E4C33">
        <w:rPr>
          <w:rFonts w:cs="Arial"/>
        </w:rPr>
        <w:t>Introduction and b</w:t>
      </w:r>
      <w:r w:rsidRPr="003E4C33" w:rsidR="00151888">
        <w:rPr>
          <w:rFonts w:cs="Arial"/>
        </w:rPr>
        <w:t>ackground</w:t>
      </w:r>
      <w:r w:rsidRPr="003E4C33" w:rsidR="00404032">
        <w:rPr>
          <w:rFonts w:cs="Arial"/>
        </w:rPr>
        <w:t xml:space="preserve"> </w:t>
      </w:r>
    </w:p>
    <w:p w:rsidR="00640C70" w:rsidP="00640C70" w:rsidRDefault="00640C70" w14:paraId="535B6095" w14:textId="77777777">
      <w:pPr>
        <w:pStyle w:val="ListParagraph"/>
        <w:rPr>
          <w:rFonts w:cs="Arial"/>
          <w:color w:val="auto"/>
        </w:rPr>
      </w:pPr>
      <w:r>
        <w:rPr>
          <w:rFonts w:cs="Arial"/>
          <w:color w:val="auto"/>
        </w:rPr>
        <w:t>Oxford City Council owns the freehold of the Carfax Café site, Carfax Churchyard Gardens, Oxford</w:t>
      </w:r>
      <w:r w:rsidRPr="25E62CF8">
        <w:rPr>
          <w:rFonts w:cs="Arial"/>
          <w:color w:val="auto"/>
        </w:rPr>
        <w:t xml:space="preserve"> (“the Site”).</w:t>
      </w:r>
      <w:r>
        <w:rPr>
          <w:rFonts w:cs="Arial"/>
          <w:color w:val="auto"/>
        </w:rPr>
        <w:t xml:space="preserve"> The property was originally leased to Terrys of Oxford Ltd on a </w:t>
      </w:r>
      <w:r w:rsidRPr="25E62CF8">
        <w:rPr>
          <w:rFonts w:cs="Arial"/>
          <w:color w:val="auto"/>
        </w:rPr>
        <w:t>10-year</w:t>
      </w:r>
      <w:r>
        <w:rPr>
          <w:rFonts w:cs="Arial"/>
          <w:color w:val="auto"/>
        </w:rPr>
        <w:t xml:space="preserve"> lease expiring April 2028. The lease was assigned in September 2021 to the current tenant.</w:t>
      </w:r>
    </w:p>
    <w:p w:rsidR="00640C70" w:rsidP="00640C70" w:rsidRDefault="00640C70" w14:paraId="73950C64" w14:textId="77777777">
      <w:pPr>
        <w:pStyle w:val="ListParagraph"/>
        <w:rPr>
          <w:rFonts w:cs="Arial"/>
          <w:color w:val="auto"/>
        </w:rPr>
      </w:pPr>
      <w:r>
        <w:rPr>
          <w:rFonts w:cs="Arial"/>
          <w:color w:val="auto"/>
        </w:rPr>
        <w:t xml:space="preserve">The freeholder of the Clarendon Centre and 64-64 Cornmarket Street has put forward an offer to purchase the site </w:t>
      </w:r>
      <w:r w:rsidRPr="25E62CF8">
        <w:rPr>
          <w:rFonts w:cs="Arial"/>
          <w:color w:val="auto"/>
        </w:rPr>
        <w:t>to</w:t>
      </w:r>
      <w:r>
        <w:rPr>
          <w:rFonts w:cs="Arial"/>
          <w:color w:val="auto"/>
        </w:rPr>
        <w:t xml:space="preserve"> create a public square as an entrance to the Clarendon redevelopment.</w:t>
      </w:r>
    </w:p>
    <w:p w:rsidRPr="00640C70" w:rsidR="00640C70" w:rsidP="00640C70" w:rsidRDefault="00640C70" w14:paraId="3809577B" w14:textId="52CB4063">
      <w:pPr>
        <w:pStyle w:val="ListParagraph"/>
      </w:pPr>
      <w:r w:rsidRPr="00640C70">
        <w:t xml:space="preserve">A previous options analysis that was undertaken on 64-65 Cornmarket St detailed the lack of redevelopment potential for the property due to the site constraints, such as historically significant buildings immediately adjacent and restricted access. Therefore, due to the nature of the tenant, the potential future costs to the Council and the positive impact of a public square in this location, we are recommending the Council accepts the offer and proceeds with the transfer of freehold title. </w:t>
      </w:r>
    </w:p>
    <w:p w:rsidRPr="00C55247" w:rsidR="00633578" w:rsidP="002B6836" w:rsidRDefault="006B2DE1" w14:paraId="058F9060" w14:textId="77777777">
      <w:pPr>
        <w:pStyle w:val="Heading1"/>
        <w:rPr>
          <w:rFonts w:cs="Arial"/>
          <w:color w:val="auto"/>
        </w:rPr>
      </w:pPr>
      <w:r w:rsidRPr="00C55247">
        <w:rPr>
          <w:rFonts w:cs="Arial"/>
          <w:color w:val="auto"/>
        </w:rPr>
        <w:t xml:space="preserve">Reasons for the decision </w:t>
      </w:r>
    </w:p>
    <w:p w:rsidR="00355C2A" w:rsidP="00AE1684" w:rsidRDefault="00355C2A" w14:paraId="037A0E90" w14:textId="3C1267E6">
      <w:pPr>
        <w:pStyle w:val="bParagraphtext"/>
        <w:rPr>
          <w:rFonts w:cs="Arial"/>
          <w:color w:val="auto"/>
        </w:rPr>
      </w:pPr>
      <w:r>
        <w:rPr>
          <w:rFonts w:cs="Arial"/>
          <w:color w:val="auto"/>
        </w:rPr>
        <w:t>The decision provides the Council with a capital receipt for a property that would otherwise be a financial liability in the future.</w:t>
      </w:r>
    </w:p>
    <w:p w:rsidRPr="00C55247" w:rsidR="006C7D2E" w:rsidP="006C7D2E" w:rsidRDefault="006C7D2E" w14:paraId="052FBB38" w14:textId="499CEEC0">
      <w:pPr>
        <w:pStyle w:val="Heading1"/>
        <w:rPr>
          <w:rFonts w:cs="Arial"/>
          <w:color w:val="auto"/>
        </w:rPr>
      </w:pPr>
      <w:r w:rsidRPr="00C55247">
        <w:rPr>
          <w:rFonts w:cs="Arial"/>
          <w:color w:val="auto"/>
        </w:rPr>
        <w:t xml:space="preserve">Alternative Options Considered </w:t>
      </w:r>
    </w:p>
    <w:p w:rsidR="001D55B1" w:rsidP="007C1F3D" w:rsidRDefault="001D55B1" w14:paraId="247381AB" w14:textId="7FBE92FD">
      <w:pPr>
        <w:pStyle w:val="ListParagraph"/>
      </w:pPr>
      <w:r>
        <w:t>The alternative option is to not proceed with the sale. It is believ</w:t>
      </w:r>
      <w:r w:rsidR="00FA2BE9">
        <w:t>ed that an offer of this level would not be forthcoming from another purchaser due to the nature of the purchaser being a neighbouring freeholder and viewed as a “special purchaser”.</w:t>
      </w:r>
    </w:p>
    <w:p w:rsidRPr="00C55247" w:rsidR="008F1BB4" w:rsidP="001A1BA1" w:rsidRDefault="008F1BB4" w14:paraId="38125097" w14:textId="3B73CF16">
      <w:pPr>
        <w:pStyle w:val="Heading1"/>
        <w:rPr>
          <w:rFonts w:cs="Arial"/>
          <w:color w:val="auto"/>
        </w:rPr>
      </w:pPr>
      <w:r w:rsidRPr="00C55247">
        <w:rPr>
          <w:rFonts w:cs="Arial"/>
          <w:color w:val="auto"/>
        </w:rPr>
        <w:t xml:space="preserve">Equalities Impact </w:t>
      </w:r>
    </w:p>
    <w:p w:rsidR="00E72AC7" w:rsidP="00E72AC7" w:rsidRDefault="00E72AC7" w14:paraId="6ABC0080" w14:textId="77777777">
      <w:pPr>
        <w:pStyle w:val="bParagraphtext"/>
      </w:pPr>
      <w:r>
        <w:t>The financial benefit to the city council will help provide services, notably those in line with the council’s ambition to create a strong, fair economy and well-run council.</w:t>
      </w:r>
    </w:p>
    <w:p w:rsidR="00E72AC7" w:rsidP="00E72AC7" w:rsidRDefault="00E72AC7" w14:paraId="496C30BA" w14:textId="77777777">
      <w:pPr>
        <w:pStyle w:val="bParagraphtext"/>
        <w:numPr>
          <w:ilvl w:val="0"/>
          <w:numId w:val="0"/>
        </w:numPr>
        <w:ind w:left="426"/>
      </w:pPr>
      <w:r>
        <w:t xml:space="preserve">The disposal of the freehold does not give rise to any direct </w:t>
      </w:r>
      <w:proofErr w:type="gramStart"/>
      <w:r>
        <w:t>equalities</w:t>
      </w:r>
      <w:proofErr w:type="gramEnd"/>
      <w:r>
        <w:t xml:space="preserve"> issues. Therefore, an equalities impact assessment is not necessary. </w:t>
      </w:r>
    </w:p>
    <w:p w:rsidRPr="00C55247" w:rsidR="009E68E0" w:rsidP="001A1BA1" w:rsidRDefault="009E68E0" w14:paraId="7AED9DA2" w14:textId="77E21A27">
      <w:pPr>
        <w:pStyle w:val="Heading1"/>
        <w:rPr>
          <w:rFonts w:cs="Arial"/>
          <w:color w:val="auto"/>
        </w:rPr>
      </w:pPr>
      <w:r w:rsidRPr="00C55247">
        <w:rPr>
          <w:rFonts w:cs="Arial"/>
          <w:color w:val="auto"/>
        </w:rPr>
        <w:t xml:space="preserve">Risks </w:t>
      </w:r>
    </w:p>
    <w:p w:rsidR="009E68E0" w:rsidP="009E68E0" w:rsidRDefault="00A1241B" w14:paraId="1585D049" w14:textId="46273C5E">
      <w:pPr>
        <w:pStyle w:val="ListParagraph"/>
        <w:rPr>
          <w:color w:val="auto"/>
        </w:rPr>
      </w:pPr>
      <w:r>
        <w:rPr>
          <w:color w:val="auto"/>
        </w:rPr>
        <w:t>See risk register as appendix.</w:t>
      </w:r>
    </w:p>
    <w:p w:rsidR="00780417" w:rsidP="00780417" w:rsidRDefault="00780417" w14:paraId="508468A9" w14:textId="77777777">
      <w:pPr>
        <w:pStyle w:val="ListParagraph"/>
        <w:numPr>
          <w:ilvl w:val="0"/>
          <w:numId w:val="0"/>
        </w:numPr>
        <w:ind w:left="426"/>
        <w:rPr>
          <w:color w:val="auto"/>
        </w:rPr>
      </w:pPr>
    </w:p>
    <w:p w:rsidRPr="00C55247" w:rsidR="00630829" w:rsidP="00630829" w:rsidRDefault="00630829" w14:paraId="6A43684D" w14:textId="77777777">
      <w:pPr>
        <w:pStyle w:val="bParagraphtext"/>
        <w:numPr>
          <w:ilvl w:val="0"/>
          <w:numId w:val="0"/>
        </w:numPr>
        <w:rPr>
          <w:color w:val="auto"/>
        </w:rPr>
      </w:pPr>
      <w:r w:rsidRPr="00C55247">
        <w:rPr>
          <w:b/>
          <w:color w:val="auto"/>
        </w:rPr>
        <w:lastRenderedPageBreak/>
        <w:t xml:space="preserve">Carbon and Environmental Considerations </w:t>
      </w:r>
    </w:p>
    <w:p w:rsidRPr="00C55247" w:rsidR="00630829" w:rsidP="00630829" w:rsidRDefault="00780417" w14:paraId="370548E2" w14:textId="10E3FFB5">
      <w:pPr>
        <w:pStyle w:val="bParagraphtext"/>
        <w:rPr>
          <w:color w:val="auto"/>
        </w:rPr>
      </w:pPr>
      <w:r>
        <w:rPr>
          <w:color w:val="auto"/>
        </w:rPr>
        <w:t>This report does not give rise to any direct carbon or environmental considerations.</w:t>
      </w:r>
    </w:p>
    <w:p w:rsidR="00630829" w:rsidP="00630829" w:rsidRDefault="00630829" w14:paraId="2454F4E3" w14:textId="77777777">
      <w:pPr>
        <w:pStyle w:val="ListParagraph"/>
        <w:numPr>
          <w:ilvl w:val="0"/>
          <w:numId w:val="0"/>
        </w:numPr>
        <w:ind w:left="426"/>
      </w:pPr>
    </w:p>
    <w:p w:rsidRPr="003E4C33" w:rsidR="00E87F7A" w:rsidP="001A1BA1" w:rsidRDefault="001A1BA1" w14:paraId="4282B049" w14:textId="08C55620">
      <w:pPr>
        <w:pStyle w:val="Heading1"/>
        <w:rPr>
          <w:rFonts w:cs="Arial"/>
        </w:rPr>
      </w:pPr>
      <w:r w:rsidRPr="003E4C33">
        <w:rPr>
          <w:rFonts w:cs="Arial"/>
        </w:rPr>
        <w:t>I</w:t>
      </w:r>
      <w:r w:rsidRPr="003E4C33" w:rsidR="00E87F7A">
        <w:rPr>
          <w:rFonts w:cs="Arial"/>
        </w:rPr>
        <w:t xml:space="preserve">mplications </w:t>
      </w:r>
      <w:r w:rsidRPr="003E4C33" w:rsidR="67763C94">
        <w:rPr>
          <w:rFonts w:cs="Arial"/>
        </w:rPr>
        <w:t>of making the decision</w:t>
      </w:r>
      <w:r w:rsidRPr="003E4C33" w:rsidR="00E87F7A">
        <w:rPr>
          <w:rFonts w:cs="Arial"/>
        </w:rPr>
        <w:t xml:space="preserve"> </w:t>
      </w:r>
    </w:p>
    <w:tbl>
      <w:tblPr>
        <w:tblStyle w:val="TableGrid"/>
        <w:tblW w:w="9288" w:type="dxa"/>
        <w:tblLook w:val="04A0" w:firstRow="1" w:lastRow="0" w:firstColumn="1" w:lastColumn="0" w:noHBand="0" w:noVBand="1"/>
      </w:tblPr>
      <w:tblGrid>
        <w:gridCol w:w="1883"/>
        <w:gridCol w:w="4470"/>
        <w:gridCol w:w="2935"/>
      </w:tblGrid>
      <w:tr w:rsidRPr="003E4C33" w:rsidR="00372A82" w:rsidTr="018DE3CD" w14:paraId="44F594ED" w14:textId="77777777">
        <w:tc>
          <w:tcPr>
            <w:tcW w:w="1883" w:type="dxa"/>
          </w:tcPr>
          <w:p w:rsidRPr="003E4C33" w:rsidR="00372A82" w:rsidP="00C076B9" w:rsidRDefault="00372A82" w14:paraId="2AB1A861" w14:textId="77777777">
            <w:pPr>
              <w:pStyle w:val="Bulletpoints"/>
              <w:numPr>
                <w:ilvl w:val="0"/>
                <w:numId w:val="0"/>
              </w:numPr>
              <w:rPr>
                <w:rFonts w:cs="Arial"/>
                <w:b/>
              </w:rPr>
            </w:pPr>
            <w:r w:rsidRPr="003E4C33">
              <w:rPr>
                <w:rFonts w:cs="Arial"/>
                <w:b/>
              </w:rPr>
              <w:t>Financial implications</w:t>
            </w:r>
          </w:p>
        </w:tc>
        <w:tc>
          <w:tcPr>
            <w:tcW w:w="4470" w:type="dxa"/>
          </w:tcPr>
          <w:p w:rsidRPr="00C55247" w:rsidR="00372A82" w:rsidP="00CB7A4F" w:rsidRDefault="00780417" w14:paraId="0696855A" w14:textId="637830D1">
            <w:pPr>
              <w:rPr>
                <w:rFonts w:cs="Arial"/>
                <w:color w:val="auto"/>
              </w:rPr>
            </w:pPr>
            <w:r>
              <w:rPr>
                <w:rStyle w:val="bParagraphtextChar"/>
                <w:rFonts w:cs="Arial"/>
                <w:color w:val="auto"/>
              </w:rPr>
              <w:t>P</w:t>
            </w:r>
            <w:r>
              <w:rPr>
                <w:rStyle w:val="bParagraphtextChar"/>
                <w:rFonts w:cs="Arial"/>
              </w:rPr>
              <w:t>lease see Exempt Appendix – Sale Terms and Financial Implications</w:t>
            </w:r>
            <w:r w:rsidRPr="00C55247" w:rsidR="00CB7A4F">
              <w:rPr>
                <w:rStyle w:val="bParagraphtextChar"/>
                <w:rFonts w:cs="Arial"/>
                <w:color w:val="auto"/>
              </w:rPr>
              <w:t xml:space="preserve"> </w:t>
            </w:r>
          </w:p>
        </w:tc>
        <w:tc>
          <w:tcPr>
            <w:tcW w:w="2935" w:type="dxa"/>
          </w:tcPr>
          <w:p w:rsidRPr="00C55247" w:rsidR="00372A82" w:rsidP="00C076B9" w:rsidRDefault="001A1BA1" w14:paraId="57868ECF" w14:textId="16BE79C8">
            <w:pPr>
              <w:pStyle w:val="Bulletpoints"/>
              <w:numPr>
                <w:ilvl w:val="0"/>
                <w:numId w:val="0"/>
              </w:numPr>
              <w:rPr>
                <w:rFonts w:cs="Arial"/>
                <w:b/>
                <w:color w:val="auto"/>
              </w:rPr>
            </w:pPr>
            <w:r w:rsidRPr="00C55247">
              <w:rPr>
                <w:rFonts w:cs="Arial"/>
                <w:b/>
                <w:color w:val="auto"/>
              </w:rPr>
              <w:t>Completed by:</w:t>
            </w:r>
            <w:r w:rsidR="6F7A1C87">
              <w:rPr>
                <w:noProof/>
              </w:rPr>
              <w:drawing>
                <wp:anchor distT="0" distB="0" distL="114300" distR="114300" simplePos="0" relativeHeight="251658240" behindDoc="0" locked="0" layoutInCell="1" allowOverlap="1" wp14:anchorId="41106B18" wp14:editId="2D629A05">
                  <wp:simplePos x="0" y="0"/>
                  <wp:positionH relativeFrom="column">
                    <wp:posOffset>28575</wp:posOffset>
                  </wp:positionH>
                  <wp:positionV relativeFrom="paragraph">
                    <wp:posOffset>171450</wp:posOffset>
                  </wp:positionV>
                  <wp:extent cx="1400175" cy="519420"/>
                  <wp:effectExtent l="0" t="0" r="0" b="0"/>
                  <wp:wrapNone/>
                  <wp:docPr id="3717686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68698" name=""/>
                          <pic:cNvPicPr/>
                        </pic:nvPicPr>
                        <pic:blipFill>
                          <a:blip r:embed="rId13">
                            <a:extLst>
                              <a:ext uri="{28A0092B-C50C-407E-A947-70E740481C1C}">
                                <a14:useLocalDpi xmlns:a14="http://schemas.microsoft.com/office/drawing/2010/main"/>
                              </a:ext>
                            </a:extLst>
                          </a:blip>
                          <a:stretch>
                            <a:fillRect/>
                          </a:stretch>
                        </pic:blipFill>
                        <pic:spPr>
                          <a:xfrm>
                            <a:off x="0" y="0"/>
                            <a:ext cx="1400175" cy="519420"/>
                          </a:xfrm>
                          <a:prstGeom prst="rect">
                            <a:avLst/>
                          </a:prstGeom>
                        </pic:spPr>
                      </pic:pic>
                    </a:graphicData>
                  </a:graphic>
                  <wp14:sizeRelH relativeFrom="page">
                    <wp14:pctWidth>0</wp14:pctWidth>
                  </wp14:sizeRelH>
                  <wp14:sizeRelV relativeFrom="page">
                    <wp14:pctHeight>0</wp14:pctHeight>
                  </wp14:sizeRelV>
                </wp:anchor>
              </w:drawing>
            </w:r>
          </w:p>
          <w:p w:rsidR="0C26E3CE" w:rsidP="0C26E3CE" w:rsidRDefault="0C26E3CE" w14:paraId="7BAB430C" w14:textId="5503C41B">
            <w:pPr>
              <w:pStyle w:val="Bulletpoints"/>
              <w:numPr>
                <w:ilvl w:val="0"/>
                <w:numId w:val="0"/>
              </w:numPr>
              <w:rPr>
                <w:rFonts w:cs="Arial"/>
                <w:b/>
                <w:bCs/>
                <w:color w:val="auto"/>
              </w:rPr>
            </w:pPr>
          </w:p>
          <w:p w:rsidR="1AE45F59" w:rsidP="6F7A1C87" w:rsidRDefault="1AE45F59" w14:paraId="1BF46DFE" w14:textId="7FDB718D">
            <w:pPr>
              <w:pStyle w:val="Bulletpoints"/>
              <w:numPr>
                <w:ilvl w:val="0"/>
                <w:numId w:val="0"/>
              </w:numPr>
              <w:spacing w:line="259" w:lineRule="auto"/>
            </w:pPr>
          </w:p>
          <w:p w:rsidR="79E8E1A6" w:rsidP="79E8E1A6" w:rsidRDefault="79E8E1A6" w14:paraId="61E1911D" w14:textId="760FFB6D">
            <w:pPr>
              <w:pStyle w:val="Bulletpoints"/>
              <w:numPr>
                <w:ilvl w:val="0"/>
                <w:numId w:val="0"/>
              </w:numPr>
              <w:spacing w:line="259" w:lineRule="auto"/>
              <w:rPr>
                <w:rFonts w:cs="Arial"/>
                <w:color w:val="auto"/>
              </w:rPr>
            </w:pPr>
          </w:p>
          <w:p w:rsidR="4506A15D" w:rsidP="1F2FCD71" w:rsidRDefault="4506A15D" w14:paraId="4E10E05A" w14:textId="54FB19B1">
            <w:pPr>
              <w:pStyle w:val="Bulletpoints"/>
              <w:numPr>
                <w:ilvl w:val="0"/>
                <w:numId w:val="0"/>
              </w:numPr>
              <w:spacing w:line="259" w:lineRule="auto"/>
              <w:rPr>
                <w:rFonts w:cs="Arial"/>
                <w:color w:val="000000" w:themeColor="text1"/>
              </w:rPr>
            </w:pPr>
            <w:r w:rsidRPr="32D5C128">
              <w:rPr>
                <w:rFonts w:cs="Arial"/>
                <w:color w:val="auto"/>
              </w:rPr>
              <w:t>Jason Jones</w:t>
            </w:r>
          </w:p>
          <w:p w:rsidRPr="00C55247" w:rsidR="001A1BA1" w:rsidP="00C076B9" w:rsidRDefault="001A1BA1" w14:paraId="7DB0BC85" w14:textId="77777777">
            <w:pPr>
              <w:pStyle w:val="Bulletpoints"/>
              <w:numPr>
                <w:ilvl w:val="0"/>
                <w:numId w:val="0"/>
              </w:numPr>
              <w:rPr>
                <w:rFonts w:cs="Arial"/>
                <w:b/>
                <w:color w:val="auto"/>
              </w:rPr>
            </w:pPr>
            <w:r w:rsidRPr="00C55247">
              <w:rPr>
                <w:rFonts w:cs="Arial"/>
                <w:b/>
                <w:color w:val="auto"/>
              </w:rPr>
              <w:t>Date:</w:t>
            </w:r>
          </w:p>
          <w:p w:rsidRPr="00C55247" w:rsidR="001A1BA1" w:rsidP="00C076B9" w:rsidRDefault="00E72AC7" w14:paraId="003D265E" w14:textId="4E7BBBDA">
            <w:pPr>
              <w:pStyle w:val="Bulletpoints"/>
              <w:numPr>
                <w:ilvl w:val="0"/>
                <w:numId w:val="0"/>
              </w:numPr>
              <w:rPr>
                <w:rFonts w:cs="Arial"/>
                <w:color w:val="auto"/>
              </w:rPr>
            </w:pPr>
            <w:r>
              <w:rPr>
                <w:rFonts w:cs="Arial"/>
                <w:color w:val="auto"/>
              </w:rPr>
              <w:t>23/09/25</w:t>
            </w:r>
          </w:p>
        </w:tc>
      </w:tr>
      <w:tr w:rsidRPr="003E4C33" w:rsidR="00372A82" w:rsidTr="018DE3CD" w14:paraId="7D8DECFB" w14:textId="77777777">
        <w:tc>
          <w:tcPr>
            <w:tcW w:w="1883" w:type="dxa"/>
          </w:tcPr>
          <w:p w:rsidRPr="003E4C33" w:rsidR="00372A82" w:rsidP="008A34D3" w:rsidRDefault="00372A82" w14:paraId="1C5F2B75" w14:textId="77777777">
            <w:pPr>
              <w:pStyle w:val="Bulletpoints"/>
              <w:numPr>
                <w:ilvl w:val="0"/>
                <w:numId w:val="0"/>
              </w:numPr>
              <w:rPr>
                <w:rFonts w:cs="Arial"/>
                <w:b/>
              </w:rPr>
            </w:pPr>
            <w:r w:rsidRPr="003E4C33">
              <w:rPr>
                <w:rFonts w:cs="Arial"/>
                <w:b/>
              </w:rPr>
              <w:t xml:space="preserve">Legal </w:t>
            </w:r>
            <w:r w:rsidRPr="003E4C33" w:rsidR="008A34D3">
              <w:rPr>
                <w:rFonts w:cs="Arial"/>
                <w:b/>
              </w:rPr>
              <w:t xml:space="preserve">implications </w:t>
            </w:r>
          </w:p>
        </w:tc>
        <w:tc>
          <w:tcPr>
            <w:tcW w:w="4470" w:type="dxa"/>
          </w:tcPr>
          <w:p w:rsidRPr="00C55247" w:rsidR="00372A82" w:rsidP="437E7628" w:rsidRDefault="29941B10" w14:paraId="2C1C9949" w14:textId="18EAED0D">
            <w:pPr>
              <w:tabs>
                <w:tab w:val="left" w:pos="176"/>
              </w:tabs>
            </w:pPr>
            <w:r w:rsidRPr="437E7628">
              <w:rPr>
                <w:rFonts w:eastAsia="Arial" w:cs="Arial"/>
                <w:color w:val="000000" w:themeColor="text1"/>
              </w:rPr>
              <w:t>The terms of the sale have been reviewed by the legal department, including the sale contract and transfer. It is considered that the terms protect the Council’s position and are in line with the Council’s obligations in s123 Local Government Act 1972.</w:t>
            </w:r>
          </w:p>
          <w:p w:rsidRPr="00C55247" w:rsidR="00372A82" w:rsidP="00CB7A4F" w:rsidRDefault="29941B10" w14:paraId="11BAD199" w14:textId="747155C8">
            <w:r w:rsidRPr="437E7628">
              <w:rPr>
                <w:rFonts w:eastAsia="Arial" w:cs="Arial"/>
                <w:color w:val="000000" w:themeColor="text1"/>
              </w:rPr>
              <w:t>This decision has been taken in consultation with the Director of Law, Governance and Strategy.</w:t>
            </w:r>
          </w:p>
        </w:tc>
        <w:tc>
          <w:tcPr>
            <w:tcW w:w="2935" w:type="dxa"/>
          </w:tcPr>
          <w:p w:rsidRPr="00C55247" w:rsidR="001A1BA1" w:rsidP="001A1BA1" w:rsidRDefault="001A1BA1" w14:paraId="47079A0C" w14:textId="77777777">
            <w:pPr>
              <w:pStyle w:val="Bulletpoints"/>
              <w:numPr>
                <w:ilvl w:val="0"/>
                <w:numId w:val="0"/>
              </w:numPr>
              <w:rPr>
                <w:rFonts w:cs="Arial"/>
                <w:b/>
                <w:color w:val="auto"/>
              </w:rPr>
            </w:pPr>
            <w:r w:rsidRPr="00C55247">
              <w:rPr>
                <w:rFonts w:cs="Arial"/>
                <w:b/>
                <w:color w:val="auto"/>
              </w:rPr>
              <w:t>Completed by:</w:t>
            </w:r>
          </w:p>
          <w:p w:rsidR="6FD7F7BA" w:rsidP="018DE3CD" w:rsidRDefault="6FD7F7BA" w14:paraId="40B7A744" w14:textId="39E621A9">
            <w:pPr>
              <w:pStyle w:val="Bulletpoints"/>
              <w:numPr>
                <w:ilvl w:val="0"/>
                <w:numId w:val="0"/>
              </w:numPr>
              <w:spacing w:line="259" w:lineRule="auto"/>
              <w:rPr>
                <w:rFonts w:cs="Arial"/>
                <w:color w:val="000000" w:themeColor="text1"/>
              </w:rPr>
            </w:pPr>
            <w:r w:rsidRPr="018DE3CD">
              <w:rPr>
                <w:rFonts w:cs="Arial"/>
                <w:color w:val="auto"/>
              </w:rPr>
              <w:t xml:space="preserve">Kathleen Fraser, Locum Commercial Property Solicitor </w:t>
            </w:r>
          </w:p>
          <w:p w:rsidRPr="00C55247" w:rsidR="001A1BA1" w:rsidP="001A1BA1" w:rsidRDefault="001A1BA1" w14:paraId="62D75828" w14:textId="77777777">
            <w:pPr>
              <w:pStyle w:val="Bulletpoints"/>
              <w:numPr>
                <w:ilvl w:val="0"/>
                <w:numId w:val="0"/>
              </w:numPr>
              <w:rPr>
                <w:rFonts w:cs="Arial"/>
                <w:b/>
                <w:color w:val="auto"/>
              </w:rPr>
            </w:pPr>
            <w:r w:rsidRPr="00C55247">
              <w:rPr>
                <w:rFonts w:cs="Arial"/>
                <w:b/>
                <w:color w:val="auto"/>
              </w:rPr>
              <w:t>Date:</w:t>
            </w:r>
          </w:p>
          <w:p w:rsidRPr="00C55247" w:rsidR="00372A82" w:rsidP="001A1BA1" w:rsidRDefault="2FC2F104" w14:paraId="7A5DDA55" w14:textId="712F6F09">
            <w:pPr>
              <w:pStyle w:val="Bulletpoints"/>
              <w:numPr>
                <w:ilvl w:val="0"/>
                <w:numId w:val="0"/>
              </w:numPr>
              <w:rPr>
                <w:rFonts w:cs="Arial"/>
                <w:color w:val="auto"/>
              </w:rPr>
            </w:pPr>
            <w:r w:rsidRPr="018DE3CD">
              <w:rPr>
                <w:rFonts w:cs="Arial"/>
                <w:color w:val="auto"/>
              </w:rPr>
              <w:t>29/09/25</w:t>
            </w:r>
          </w:p>
        </w:tc>
      </w:tr>
      <w:tr w:rsidRPr="003E4C33" w:rsidR="001A1BA1" w:rsidTr="018DE3CD" w14:paraId="6F38FEBF" w14:textId="77777777">
        <w:tc>
          <w:tcPr>
            <w:tcW w:w="1883" w:type="dxa"/>
          </w:tcPr>
          <w:p w:rsidRPr="003E4C33" w:rsidR="001A1BA1" w:rsidP="00C076B9" w:rsidRDefault="00DE2CA6" w14:paraId="48C94DFF" w14:textId="548814E4">
            <w:pPr>
              <w:pStyle w:val="Bulletpoints"/>
              <w:numPr>
                <w:ilvl w:val="0"/>
                <w:numId w:val="0"/>
              </w:numPr>
              <w:rPr>
                <w:rFonts w:cs="Arial"/>
                <w:b/>
              </w:rPr>
            </w:pPr>
            <w:r>
              <w:rPr>
                <w:rFonts w:cs="Arial"/>
                <w:b/>
              </w:rPr>
              <w:t xml:space="preserve"> </w:t>
            </w:r>
            <w:r w:rsidRPr="003E4C33" w:rsidR="001A1BA1">
              <w:rPr>
                <w:rFonts w:cs="Arial"/>
                <w:b/>
              </w:rPr>
              <w:t>Other implications</w:t>
            </w:r>
          </w:p>
        </w:tc>
        <w:tc>
          <w:tcPr>
            <w:tcW w:w="4470" w:type="dxa"/>
          </w:tcPr>
          <w:p w:rsidRPr="00C55247" w:rsidR="00CB7A4F" w:rsidP="00372A82" w:rsidRDefault="0029099B" w14:paraId="6DC2105E" w14:textId="726AA20F">
            <w:pPr>
              <w:pStyle w:val="bParagraphtext"/>
              <w:numPr>
                <w:ilvl w:val="0"/>
                <w:numId w:val="0"/>
              </w:numPr>
              <w:rPr>
                <w:rFonts w:cs="Arial"/>
                <w:color w:val="auto"/>
              </w:rPr>
            </w:pPr>
            <w:r>
              <w:rPr>
                <w:rFonts w:cs="Arial"/>
                <w:color w:val="auto"/>
              </w:rPr>
              <w:t>P</w:t>
            </w:r>
            <w:r>
              <w:rPr>
                <w:color w:val="auto"/>
              </w:rPr>
              <w:t>lease see Exempt Appendix – Sale Terms and Financial Implications</w:t>
            </w:r>
          </w:p>
        </w:tc>
        <w:tc>
          <w:tcPr>
            <w:tcW w:w="2935" w:type="dxa"/>
          </w:tcPr>
          <w:p w:rsidRPr="00C55247" w:rsidR="001A1BA1" w:rsidP="001A1BA1" w:rsidRDefault="001A1BA1" w14:paraId="48FAD318" w14:textId="77777777">
            <w:pPr>
              <w:pStyle w:val="Bulletpoints"/>
              <w:numPr>
                <w:ilvl w:val="0"/>
                <w:numId w:val="0"/>
              </w:numPr>
              <w:rPr>
                <w:rFonts w:cs="Arial"/>
                <w:b/>
                <w:color w:val="auto"/>
              </w:rPr>
            </w:pPr>
            <w:r w:rsidRPr="00C55247">
              <w:rPr>
                <w:rFonts w:cs="Arial"/>
                <w:b/>
                <w:color w:val="auto"/>
              </w:rPr>
              <w:t>Completed by:</w:t>
            </w:r>
          </w:p>
          <w:p w:rsidRPr="00C55247" w:rsidR="001A1BA1" w:rsidP="001A1BA1" w:rsidRDefault="0029099B" w14:paraId="59811DC1" w14:textId="69C3BA01">
            <w:pPr>
              <w:pStyle w:val="Bulletpoints"/>
              <w:numPr>
                <w:ilvl w:val="0"/>
                <w:numId w:val="0"/>
              </w:numPr>
              <w:rPr>
                <w:rFonts w:cs="Arial"/>
                <w:color w:val="auto"/>
              </w:rPr>
            </w:pPr>
            <w:r>
              <w:rPr>
                <w:rFonts w:cs="Arial"/>
                <w:color w:val="auto"/>
              </w:rPr>
              <w:t>Kate Protheroe, Asset Manager</w:t>
            </w:r>
          </w:p>
          <w:p w:rsidRPr="00C55247" w:rsidR="001A1BA1" w:rsidP="001A1BA1" w:rsidRDefault="001A1BA1" w14:paraId="495F4D61" w14:textId="77777777">
            <w:pPr>
              <w:pStyle w:val="Bulletpoints"/>
              <w:numPr>
                <w:ilvl w:val="0"/>
                <w:numId w:val="0"/>
              </w:numPr>
              <w:rPr>
                <w:rFonts w:cs="Arial"/>
                <w:b/>
                <w:color w:val="auto"/>
              </w:rPr>
            </w:pPr>
            <w:r w:rsidRPr="00C55247">
              <w:rPr>
                <w:rFonts w:cs="Arial"/>
                <w:b/>
                <w:color w:val="auto"/>
              </w:rPr>
              <w:t>Date:</w:t>
            </w:r>
          </w:p>
          <w:p w:rsidRPr="00C55247" w:rsidR="001A1BA1" w:rsidP="001A1BA1" w:rsidRDefault="00206EFC" w14:paraId="68285B07" w14:textId="389030A2">
            <w:pPr>
              <w:pStyle w:val="Bulletpoints"/>
              <w:numPr>
                <w:ilvl w:val="0"/>
                <w:numId w:val="0"/>
              </w:numPr>
              <w:rPr>
                <w:rFonts w:cs="Arial"/>
                <w:color w:val="auto"/>
              </w:rPr>
            </w:pPr>
            <w:r>
              <w:rPr>
                <w:rFonts w:cs="Arial"/>
                <w:color w:val="auto"/>
              </w:rPr>
              <w:t>23/09/25</w:t>
            </w:r>
          </w:p>
        </w:tc>
      </w:tr>
      <w:tr w:rsidRPr="003E4C33" w:rsidR="007967CA" w:rsidTr="018DE3CD" w14:paraId="2C18B277" w14:textId="77777777">
        <w:tc>
          <w:tcPr>
            <w:tcW w:w="1883" w:type="dxa"/>
          </w:tcPr>
          <w:p w:rsidRPr="003E4C33" w:rsidR="007967CA" w:rsidP="00C076B9" w:rsidRDefault="007967CA" w14:paraId="4EB49136" w14:textId="6AAF52DF">
            <w:pPr>
              <w:pStyle w:val="Bulletpoints"/>
              <w:numPr>
                <w:ilvl w:val="0"/>
                <w:numId w:val="0"/>
              </w:numPr>
              <w:rPr>
                <w:rFonts w:cs="Arial"/>
                <w:b/>
              </w:rPr>
            </w:pPr>
            <w:r w:rsidRPr="003E4C33">
              <w:rPr>
                <w:rFonts w:cs="Arial"/>
                <w:b/>
              </w:rPr>
              <w:t xml:space="preserve">Member declared interests </w:t>
            </w:r>
          </w:p>
        </w:tc>
        <w:tc>
          <w:tcPr>
            <w:tcW w:w="4470" w:type="dxa"/>
          </w:tcPr>
          <w:p w:rsidRPr="00C55247" w:rsidR="007967CA" w:rsidP="00372A82" w:rsidRDefault="0080323D" w14:paraId="0033AA4D" w14:textId="7D791DF0">
            <w:pPr>
              <w:pStyle w:val="bParagraphtext"/>
              <w:numPr>
                <w:ilvl w:val="0"/>
                <w:numId w:val="0"/>
              </w:numPr>
              <w:rPr>
                <w:rFonts w:cs="Arial"/>
                <w:color w:val="auto"/>
              </w:rPr>
            </w:pPr>
            <w:r>
              <w:rPr>
                <w:rFonts w:cs="Arial"/>
                <w:color w:val="auto"/>
              </w:rPr>
              <w:t>None</w:t>
            </w:r>
          </w:p>
        </w:tc>
        <w:tc>
          <w:tcPr>
            <w:tcW w:w="2935" w:type="dxa"/>
          </w:tcPr>
          <w:p w:rsidRPr="00C55247" w:rsidR="007967CA" w:rsidP="007967CA" w:rsidRDefault="007967CA" w14:paraId="7424BC62" w14:textId="77777777">
            <w:pPr>
              <w:pStyle w:val="Bulletpoints"/>
              <w:numPr>
                <w:ilvl w:val="0"/>
                <w:numId w:val="0"/>
              </w:numPr>
              <w:rPr>
                <w:rFonts w:cs="Arial"/>
                <w:b/>
                <w:color w:val="auto"/>
              </w:rPr>
            </w:pPr>
            <w:r w:rsidRPr="00C55247">
              <w:rPr>
                <w:rFonts w:cs="Arial"/>
                <w:b/>
                <w:color w:val="auto"/>
              </w:rPr>
              <w:t>Completed by:</w:t>
            </w:r>
          </w:p>
          <w:p w:rsidRPr="00C55247" w:rsidR="007967CA" w:rsidP="007967CA" w:rsidRDefault="0080323D" w14:paraId="405BF3DD" w14:textId="662CB3D8">
            <w:pPr>
              <w:pStyle w:val="Bulletpoints"/>
              <w:numPr>
                <w:ilvl w:val="0"/>
                <w:numId w:val="0"/>
              </w:numPr>
              <w:rPr>
                <w:rFonts w:cs="Arial"/>
                <w:color w:val="auto"/>
              </w:rPr>
            </w:pPr>
            <w:r>
              <w:rPr>
                <w:rFonts w:cs="Arial"/>
                <w:color w:val="auto"/>
              </w:rPr>
              <w:t>Kate Protheroe, Asset Manager</w:t>
            </w:r>
          </w:p>
          <w:p w:rsidRPr="00C55247" w:rsidR="007967CA" w:rsidP="007967CA" w:rsidRDefault="007967CA" w14:paraId="22A72D4B" w14:textId="77777777">
            <w:pPr>
              <w:pStyle w:val="Bulletpoints"/>
              <w:numPr>
                <w:ilvl w:val="0"/>
                <w:numId w:val="0"/>
              </w:numPr>
              <w:rPr>
                <w:rFonts w:cs="Arial"/>
                <w:b/>
                <w:color w:val="auto"/>
              </w:rPr>
            </w:pPr>
            <w:r w:rsidRPr="00C55247">
              <w:rPr>
                <w:rFonts w:cs="Arial"/>
                <w:b/>
                <w:color w:val="auto"/>
              </w:rPr>
              <w:t>Date:</w:t>
            </w:r>
          </w:p>
          <w:p w:rsidRPr="0080323D" w:rsidR="007967CA" w:rsidP="007967CA" w:rsidRDefault="00206EFC" w14:paraId="5918EBBE" w14:textId="58F86688">
            <w:pPr>
              <w:pStyle w:val="Bulletpoints"/>
              <w:numPr>
                <w:ilvl w:val="0"/>
                <w:numId w:val="0"/>
              </w:numPr>
              <w:rPr>
                <w:rFonts w:cs="Arial"/>
                <w:bCs/>
                <w:color w:val="auto"/>
              </w:rPr>
            </w:pPr>
            <w:r>
              <w:rPr>
                <w:rFonts w:cs="Arial"/>
                <w:bCs/>
                <w:color w:val="auto"/>
              </w:rPr>
              <w:t>23/09/25</w:t>
            </w:r>
          </w:p>
        </w:tc>
      </w:tr>
    </w:tbl>
    <w:p w:rsidRPr="003E4C33" w:rsidR="00FB3B71" w:rsidP="002B0329" w:rsidRDefault="00FB3B71" w14:paraId="7891D21B" w14:textId="78C294AB">
      <w:pPr>
        <w:pStyle w:val="bParagraphtext"/>
        <w:numPr>
          <w:ilvl w:val="0"/>
          <w:numId w:val="0"/>
        </w:numPr>
        <w:rPr>
          <w:rFonts w:cs="Arial"/>
          <w:b/>
        </w:rPr>
      </w:pPr>
    </w:p>
    <w:p w:rsidRPr="003E4C33" w:rsidR="006C767F" w:rsidP="002B0329" w:rsidRDefault="006C767F" w14:paraId="5BCE4DEB" w14:textId="02514305">
      <w:pPr>
        <w:pStyle w:val="bParagraphtext"/>
        <w:numPr>
          <w:ilvl w:val="0"/>
          <w:numId w:val="0"/>
        </w:numPr>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844"/>
      </w:tblGrid>
      <w:tr w:rsidRPr="003E4C33" w:rsidR="006C767F" w:rsidTr="6705CB2F" w14:paraId="07218A10" w14:textId="77777777">
        <w:tc>
          <w:tcPr>
            <w:tcW w:w="884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E4C33" w:rsidR="006C767F" w:rsidP="008B4E15" w:rsidRDefault="006C767F" w14:paraId="36521CA4" w14:textId="359272A3">
            <w:pPr>
              <w:jc w:val="center"/>
              <w:rPr>
                <w:rFonts w:cs="Arial"/>
              </w:rPr>
            </w:pPr>
            <w:r w:rsidRPr="003E4C33">
              <w:rPr>
                <w:rStyle w:val="Firstpagetablebold"/>
                <w:rFonts w:cs="Arial"/>
              </w:rPr>
              <w:t xml:space="preserve">Background Documents </w:t>
            </w:r>
          </w:p>
        </w:tc>
      </w:tr>
      <w:tr w:rsidRPr="003E4C33" w:rsidR="006C767F" w:rsidTr="6705CB2F" w14:paraId="269EBDEB" w14:textId="77777777">
        <w:tc>
          <w:tcPr>
            <w:tcW w:w="884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3E4C33" w:rsidR="006C767F" w:rsidP="12E744BB" w:rsidRDefault="00294B3A" w14:paraId="78FD4075" w14:textId="2A3D7694">
            <w:pPr>
              <w:rPr>
                <w:rFonts w:eastAsia="Arial" w:cs="Arial"/>
              </w:rPr>
            </w:pPr>
            <w:r>
              <w:rPr>
                <w:rFonts w:eastAsia="Arial" w:cs="Arial"/>
              </w:rPr>
              <w:t>None</w:t>
            </w:r>
          </w:p>
        </w:tc>
      </w:tr>
    </w:tbl>
    <w:p w:rsidRPr="003E4C33" w:rsidR="00FB3B71" w:rsidP="0033565F" w:rsidRDefault="00FB3B71" w14:paraId="0D36453B" w14:textId="1874FC0C">
      <w:pPr>
        <w:pStyle w:val="bParagraphtext"/>
        <w:numPr>
          <w:ilvl w:val="0"/>
          <w:numId w:val="0"/>
        </w:numPr>
        <w:ind w:left="426"/>
        <w:rPr>
          <w:rFonts w:cs="Arial"/>
          <w:b/>
          <w:bCs/>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3E4C33" w:rsidR="00DF093E" w:rsidTr="00A46E98" w14:paraId="1F687E48" w14:textId="77777777">
        <w:trPr>
          <w:cantSplit/>
          <w:trHeight w:val="396"/>
        </w:trPr>
        <w:tc>
          <w:tcPr>
            <w:tcW w:w="3969" w:type="dxa"/>
            <w:tcBorders>
              <w:top w:val="single" w:color="000000" w:sz="8" w:space="0"/>
              <w:left w:val="single" w:color="000000" w:sz="8" w:space="0"/>
              <w:bottom w:val="single" w:color="000000" w:sz="8" w:space="0"/>
              <w:right w:val="nil"/>
            </w:tcBorders>
          </w:tcPr>
          <w:p w:rsidRPr="003E4C33" w:rsidR="00E87F7A" w:rsidP="00A46E98" w:rsidRDefault="00E87F7A" w14:paraId="760A9FCD" w14:textId="77777777">
            <w:pPr>
              <w:rPr>
                <w:rFonts w:cs="Arial"/>
                <w:b/>
              </w:rPr>
            </w:pPr>
            <w:r w:rsidRPr="003E4C33">
              <w:rPr>
                <w:rFonts w:cs="Arial"/>
                <w:b/>
              </w:rPr>
              <w:lastRenderedPageBreak/>
              <w:t>Report author</w:t>
            </w:r>
          </w:p>
        </w:tc>
        <w:tc>
          <w:tcPr>
            <w:tcW w:w="4962" w:type="dxa"/>
            <w:tcBorders>
              <w:top w:val="single" w:color="000000" w:sz="8" w:space="0"/>
              <w:left w:val="nil"/>
              <w:bottom w:val="single" w:color="000000" w:sz="8" w:space="0"/>
              <w:right w:val="single" w:color="000000" w:sz="8" w:space="0"/>
            </w:tcBorders>
          </w:tcPr>
          <w:p w:rsidRPr="003E4C33" w:rsidR="00E87F7A" w:rsidP="00A46E98" w:rsidRDefault="0080323D" w14:paraId="10A18498" w14:textId="40B1F171">
            <w:pPr>
              <w:rPr>
                <w:rFonts w:cs="Arial"/>
              </w:rPr>
            </w:pPr>
            <w:r>
              <w:rPr>
                <w:rFonts w:cs="Arial"/>
              </w:rPr>
              <w:t>Kate Protheroe</w:t>
            </w:r>
          </w:p>
        </w:tc>
      </w:tr>
      <w:tr w:rsidRPr="003E4C33" w:rsidR="00DF093E" w:rsidTr="00A46E98" w14:paraId="4C699F40" w14:textId="77777777">
        <w:trPr>
          <w:cantSplit/>
          <w:trHeight w:val="396"/>
        </w:trPr>
        <w:tc>
          <w:tcPr>
            <w:tcW w:w="3969" w:type="dxa"/>
            <w:tcBorders>
              <w:top w:val="single" w:color="000000" w:sz="8" w:space="0"/>
              <w:left w:val="single" w:color="000000" w:sz="8" w:space="0"/>
              <w:bottom w:val="nil"/>
              <w:right w:val="nil"/>
            </w:tcBorders>
          </w:tcPr>
          <w:p w:rsidRPr="003E4C33" w:rsidR="00E87F7A" w:rsidP="00A46E98" w:rsidRDefault="00E87F7A" w14:paraId="06C15971" w14:textId="77777777">
            <w:pPr>
              <w:rPr>
                <w:rFonts w:cs="Arial"/>
              </w:rPr>
            </w:pPr>
            <w:r w:rsidRPr="003E4C33">
              <w:rPr>
                <w:rFonts w:cs="Arial"/>
              </w:rPr>
              <w:t>Job title</w:t>
            </w:r>
          </w:p>
        </w:tc>
        <w:tc>
          <w:tcPr>
            <w:tcW w:w="4962" w:type="dxa"/>
            <w:tcBorders>
              <w:top w:val="single" w:color="000000" w:sz="8" w:space="0"/>
              <w:left w:val="nil"/>
              <w:bottom w:val="nil"/>
              <w:right w:val="single" w:color="000000" w:sz="8" w:space="0"/>
            </w:tcBorders>
          </w:tcPr>
          <w:p w:rsidRPr="00C55247" w:rsidR="00E87F7A" w:rsidP="00A46E98" w:rsidRDefault="0080323D" w14:paraId="4290E9E4" w14:textId="5B6BE7D1">
            <w:pPr>
              <w:rPr>
                <w:rFonts w:cs="Arial"/>
                <w:color w:val="auto"/>
              </w:rPr>
            </w:pPr>
            <w:r>
              <w:rPr>
                <w:rFonts w:cs="Arial"/>
                <w:color w:val="auto"/>
              </w:rPr>
              <w:t>Asset Manager</w:t>
            </w:r>
          </w:p>
        </w:tc>
      </w:tr>
      <w:tr w:rsidRPr="003E4C33" w:rsidR="00DF093E" w:rsidTr="00A46E98" w14:paraId="724C97C1" w14:textId="77777777">
        <w:trPr>
          <w:cantSplit/>
          <w:trHeight w:val="396"/>
        </w:trPr>
        <w:tc>
          <w:tcPr>
            <w:tcW w:w="3969" w:type="dxa"/>
            <w:tcBorders>
              <w:top w:val="nil"/>
              <w:left w:val="single" w:color="000000" w:sz="8" w:space="0"/>
              <w:bottom w:val="nil"/>
              <w:right w:val="nil"/>
            </w:tcBorders>
          </w:tcPr>
          <w:p w:rsidRPr="003E4C33" w:rsidR="00E87F7A" w:rsidP="00A46E98" w:rsidRDefault="00E87F7A" w14:paraId="0B0F48C6" w14:textId="77777777">
            <w:pPr>
              <w:rPr>
                <w:rFonts w:cs="Arial"/>
              </w:rPr>
            </w:pPr>
            <w:r w:rsidRPr="003E4C33">
              <w:rPr>
                <w:rFonts w:cs="Arial"/>
              </w:rPr>
              <w:t>Service area or department</w:t>
            </w:r>
          </w:p>
        </w:tc>
        <w:tc>
          <w:tcPr>
            <w:tcW w:w="4962" w:type="dxa"/>
            <w:tcBorders>
              <w:top w:val="nil"/>
              <w:left w:val="nil"/>
              <w:bottom w:val="nil"/>
              <w:right w:val="single" w:color="000000" w:sz="8" w:space="0"/>
            </w:tcBorders>
          </w:tcPr>
          <w:p w:rsidRPr="00C55247" w:rsidR="00E87F7A" w:rsidP="00A46E98" w:rsidRDefault="0080323D" w14:paraId="64678455" w14:textId="6E2FC25B">
            <w:pPr>
              <w:rPr>
                <w:rFonts w:cs="Arial"/>
                <w:color w:val="auto"/>
              </w:rPr>
            </w:pPr>
            <w:r>
              <w:rPr>
                <w:rFonts w:cs="Arial"/>
                <w:color w:val="auto"/>
              </w:rPr>
              <w:t>Corporate Property</w:t>
            </w:r>
          </w:p>
        </w:tc>
      </w:tr>
      <w:tr w:rsidRPr="003E4C33" w:rsidR="005570B5" w:rsidTr="008A34D3" w14:paraId="1192348E" w14:textId="77777777">
        <w:trPr>
          <w:cantSplit/>
          <w:trHeight w:val="60"/>
        </w:trPr>
        <w:tc>
          <w:tcPr>
            <w:tcW w:w="3969" w:type="dxa"/>
            <w:tcBorders>
              <w:top w:val="nil"/>
              <w:left w:val="single" w:color="000000" w:sz="8" w:space="0"/>
              <w:bottom w:val="single" w:color="000000" w:sz="8" w:space="0"/>
              <w:right w:val="nil"/>
            </w:tcBorders>
          </w:tcPr>
          <w:p w:rsidRPr="003E4C33" w:rsidR="00E87F7A" w:rsidP="00A46E98" w:rsidRDefault="00005CE3" w14:paraId="7F66B002" w14:textId="7006D39A">
            <w:pPr>
              <w:rPr>
                <w:rFonts w:cs="Arial"/>
              </w:rPr>
            </w:pPr>
            <w:r w:rsidRPr="003E4C33">
              <w:rPr>
                <w:rFonts w:cs="Arial"/>
              </w:rPr>
              <w:t xml:space="preserve">Email contact </w:t>
            </w:r>
          </w:p>
        </w:tc>
        <w:tc>
          <w:tcPr>
            <w:tcW w:w="4962" w:type="dxa"/>
            <w:tcBorders>
              <w:top w:val="nil"/>
              <w:left w:val="nil"/>
              <w:bottom w:val="single" w:color="000000" w:sz="8" w:space="0"/>
              <w:right w:val="single" w:color="000000" w:sz="8" w:space="0"/>
            </w:tcBorders>
          </w:tcPr>
          <w:p w:rsidRPr="00C55247" w:rsidR="00E87F7A" w:rsidP="00A46E98" w:rsidRDefault="0080323D" w14:paraId="217B4852" w14:textId="7E311A3C">
            <w:pPr>
              <w:rPr>
                <w:rStyle w:val="Hyperlink"/>
                <w:rFonts w:cs="Arial"/>
                <w:color w:val="auto"/>
              </w:rPr>
            </w:pPr>
            <w:r>
              <w:t>kprotheroe@oxford.gov.uk</w:t>
            </w:r>
          </w:p>
        </w:tc>
      </w:tr>
    </w:tbl>
    <w:p w:rsidRPr="003E4C33" w:rsidR="00433B96" w:rsidP="004A6D2F" w:rsidRDefault="00433B96" w14:paraId="30F6D8FE" w14:textId="77777777">
      <w:pPr>
        <w:rPr>
          <w:rFonts w:cs="Arial"/>
        </w:rPr>
      </w:pPr>
    </w:p>
    <w:p w:rsidRPr="003E4C33" w:rsidR="001A1BA1" w:rsidP="0BC4DFF5" w:rsidRDefault="001A1BA1" w14:paraId="4A373021" w14:textId="67E244B4">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536"/>
        <w:gridCol w:w="1417"/>
      </w:tblGrid>
      <w:tr w:rsidRPr="003E4C33" w:rsidR="001A1BA1" w:rsidTr="175C3AB3" w14:paraId="55292CC4" w14:textId="77777777">
        <w:trPr>
          <w:trHeight w:val="516"/>
        </w:trPr>
        <w:tc>
          <w:tcPr>
            <w:tcW w:w="3119" w:type="dxa"/>
            <w:tcMar/>
          </w:tcPr>
          <w:p w:rsidRPr="003E4C33" w:rsidR="001A1BA1" w:rsidP="000772EB" w:rsidRDefault="001A1BA1" w14:paraId="423E2C51" w14:textId="77777777">
            <w:pPr>
              <w:spacing w:before="120"/>
              <w:rPr>
                <w:b/>
                <w:i/>
              </w:rPr>
            </w:pPr>
            <w:r w:rsidRPr="003E4C33">
              <w:rPr>
                <w:b/>
                <w:i/>
              </w:rPr>
              <w:t>Consultees</w:t>
            </w:r>
          </w:p>
        </w:tc>
        <w:tc>
          <w:tcPr>
            <w:tcW w:w="4536" w:type="dxa"/>
            <w:tcMar/>
            <w:vAlign w:val="center"/>
          </w:tcPr>
          <w:p w:rsidRPr="003E4C33" w:rsidR="001A1BA1" w:rsidP="000772EB" w:rsidRDefault="001A1BA1" w14:paraId="66370075" w14:textId="77777777">
            <w:pPr>
              <w:rPr>
                <w:b/>
                <w:i/>
              </w:rPr>
            </w:pPr>
            <w:r w:rsidRPr="003E4C33">
              <w:rPr>
                <w:b/>
                <w:i/>
              </w:rPr>
              <w:t>Name and job title</w:t>
            </w:r>
          </w:p>
        </w:tc>
        <w:tc>
          <w:tcPr>
            <w:tcW w:w="1417" w:type="dxa"/>
            <w:tcMar/>
            <w:vAlign w:val="center"/>
          </w:tcPr>
          <w:p w:rsidRPr="003E4C33" w:rsidR="001A1BA1" w:rsidP="000772EB" w:rsidRDefault="001A1BA1" w14:paraId="67196AF5" w14:textId="77777777">
            <w:pPr>
              <w:rPr>
                <w:b/>
                <w:i/>
              </w:rPr>
            </w:pPr>
            <w:r w:rsidRPr="003E4C33">
              <w:rPr>
                <w:b/>
                <w:i/>
              </w:rPr>
              <w:t xml:space="preserve">Date </w:t>
            </w:r>
          </w:p>
        </w:tc>
      </w:tr>
      <w:tr w:rsidRPr="003E4C33" w:rsidR="001A1BA1" w:rsidTr="175C3AB3" w14:paraId="5F3F749A" w14:textId="77777777">
        <w:trPr>
          <w:trHeight w:val="516"/>
        </w:trPr>
        <w:tc>
          <w:tcPr>
            <w:tcW w:w="3119" w:type="dxa"/>
            <w:tcMar/>
            <w:vAlign w:val="center"/>
          </w:tcPr>
          <w:p w:rsidRPr="003E4C33" w:rsidR="001A1BA1" w:rsidP="000772EB" w:rsidRDefault="001A1BA1" w14:paraId="27A74D65" w14:textId="77777777">
            <w:pPr>
              <w:spacing w:before="120"/>
              <w:rPr>
                <w:b/>
              </w:rPr>
            </w:pPr>
            <w:r w:rsidRPr="003E4C33">
              <w:rPr>
                <w:b/>
              </w:rPr>
              <w:t>Senior officer</w:t>
            </w:r>
          </w:p>
          <w:p w:rsidRPr="003E4C33" w:rsidR="001A1BA1" w:rsidP="000772EB" w:rsidRDefault="001A1BA1" w14:paraId="5850EEA3" w14:textId="449855D8">
            <w:pPr>
              <w:spacing w:before="120"/>
            </w:pPr>
            <w:r>
              <w:t xml:space="preserve">e.g. the relevant service manager / </w:t>
            </w:r>
            <w:r w:rsidR="0055056C">
              <w:t>Director</w:t>
            </w:r>
            <w:r>
              <w:t xml:space="preserve"> where the decision maker is the Chief Executive or </w:t>
            </w:r>
            <w:r w:rsidR="0055056C">
              <w:t>a Deputy Chief Executive</w:t>
            </w:r>
            <w:r>
              <w:t>.</w:t>
            </w:r>
          </w:p>
        </w:tc>
        <w:tc>
          <w:tcPr>
            <w:tcW w:w="4536" w:type="dxa"/>
            <w:tcMar/>
            <w:vAlign w:val="center"/>
          </w:tcPr>
          <w:p w:rsidRPr="00C55247" w:rsidR="001A1BA1" w:rsidP="000772EB" w:rsidRDefault="0080323D" w14:paraId="33DFBFFA" w14:textId="0512CDF2">
            <w:pPr>
              <w:rPr>
                <w:color w:val="A6A6A6" w:themeColor="background1" w:themeShade="A6"/>
              </w:rPr>
            </w:pPr>
            <w:r>
              <w:rPr>
                <w:color w:val="auto"/>
              </w:rPr>
              <w:t>N/A</w:t>
            </w:r>
          </w:p>
        </w:tc>
        <w:tc>
          <w:tcPr>
            <w:tcW w:w="1417" w:type="dxa"/>
            <w:tcMar/>
            <w:vAlign w:val="center"/>
          </w:tcPr>
          <w:p w:rsidRPr="003E4C33" w:rsidR="001A1BA1" w:rsidP="000772EB" w:rsidRDefault="001A1BA1" w14:paraId="29D4AEB7" w14:textId="77777777"/>
        </w:tc>
      </w:tr>
      <w:tr w:rsidRPr="003E4C33" w:rsidR="001A1BA1" w:rsidTr="175C3AB3" w14:paraId="5B08396D" w14:textId="77777777">
        <w:trPr>
          <w:trHeight w:val="1161"/>
        </w:trPr>
        <w:tc>
          <w:tcPr>
            <w:tcW w:w="3119" w:type="dxa"/>
            <w:tcMar/>
          </w:tcPr>
          <w:p w:rsidRPr="003E4C33" w:rsidR="001A1BA1" w:rsidP="000772EB" w:rsidRDefault="00D566E2" w14:paraId="206914C9" w14:textId="56FA33D0">
            <w:pPr>
              <w:spacing w:before="120"/>
              <w:rPr>
                <w:b/>
              </w:rPr>
            </w:pPr>
            <w:r>
              <w:rPr>
                <w:b/>
              </w:rPr>
              <w:t>Group Finance Director</w:t>
            </w:r>
          </w:p>
          <w:p w:rsidRPr="003E4C33" w:rsidR="001A1BA1" w:rsidP="000772EB" w:rsidRDefault="42DDDBA8" w14:paraId="7A4F1884" w14:textId="76E91C55">
            <w:pPr>
              <w:spacing w:before="120"/>
            </w:pPr>
            <w:r w:rsidRPr="003E4C33">
              <w:t>Where required</w:t>
            </w:r>
            <w:r w:rsidRPr="003E4C33" w:rsidR="0AFF6EB2">
              <w:t xml:space="preserve"> by the Constitution or conditions of the delegation</w:t>
            </w:r>
          </w:p>
        </w:tc>
        <w:tc>
          <w:tcPr>
            <w:tcW w:w="4536" w:type="dxa"/>
            <w:tcMar/>
            <w:vAlign w:val="center"/>
          </w:tcPr>
          <w:p w:rsidRPr="003E4C33" w:rsidR="001A1BA1" w:rsidP="0F8EB7D2" w:rsidRDefault="398A4FBE" w14:paraId="53469C90" w14:textId="74423914">
            <w:r>
              <w:rPr>
                <w:noProof/>
              </w:rPr>
              <w:drawing>
                <wp:inline distT="0" distB="0" distL="0" distR="0" wp14:anchorId="31641B01" wp14:editId="614AAF92">
                  <wp:extent cx="952549" cy="787440"/>
                  <wp:effectExtent l="0" t="0" r="0" b="0"/>
                  <wp:docPr id="9848469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46917" name=""/>
                          <pic:cNvPicPr/>
                        </pic:nvPicPr>
                        <pic:blipFill>
                          <a:blip r:embed="rId14">
                            <a:extLst>
                              <a:ext uri="{28A0092B-C50C-407E-A947-70E740481C1C}">
                                <a14:useLocalDpi xmlns:a14="http://schemas.microsoft.com/office/drawing/2010/main" val="0"/>
                              </a:ext>
                            </a:extLst>
                          </a:blip>
                          <a:stretch>
                            <a:fillRect/>
                          </a:stretch>
                        </pic:blipFill>
                        <pic:spPr>
                          <a:xfrm>
                            <a:off x="0" y="0"/>
                            <a:ext cx="952549" cy="787440"/>
                          </a:xfrm>
                          <a:prstGeom prst="rect">
                            <a:avLst/>
                          </a:prstGeom>
                        </pic:spPr>
                      </pic:pic>
                    </a:graphicData>
                  </a:graphic>
                </wp:inline>
              </w:drawing>
            </w:r>
          </w:p>
          <w:p w:rsidRPr="003E4C33" w:rsidR="001A1BA1" w:rsidP="0F8EB7D2" w:rsidRDefault="398A4FBE" w14:paraId="476C7451" w14:textId="035C14BB">
            <w:r>
              <w:t>NIGEL KENNEDY</w:t>
            </w:r>
          </w:p>
        </w:tc>
        <w:tc>
          <w:tcPr>
            <w:tcW w:w="1417" w:type="dxa"/>
            <w:tcMar/>
            <w:vAlign w:val="center"/>
          </w:tcPr>
          <w:p w:rsidRPr="003E4C33" w:rsidR="001A1BA1" w:rsidP="000772EB" w:rsidRDefault="398A4FBE" w14:paraId="26B724B7" w14:textId="6B7ABC03">
            <w:r>
              <w:t>03/10/25</w:t>
            </w:r>
          </w:p>
        </w:tc>
      </w:tr>
      <w:tr w:rsidRPr="003E4C33" w:rsidR="001A1BA1" w:rsidTr="175C3AB3" w14:paraId="54CB0EFE" w14:textId="77777777">
        <w:trPr>
          <w:trHeight w:val="834"/>
        </w:trPr>
        <w:tc>
          <w:tcPr>
            <w:tcW w:w="3119" w:type="dxa"/>
            <w:tcMar/>
          </w:tcPr>
          <w:p w:rsidRPr="003E4C33" w:rsidR="001A1BA1" w:rsidP="000772EB" w:rsidRDefault="00C56120" w14:paraId="658FE63C" w14:textId="657649B8">
            <w:pPr>
              <w:spacing w:before="120"/>
              <w:rPr>
                <w:b/>
              </w:rPr>
            </w:pPr>
            <w:r>
              <w:rPr>
                <w:b/>
              </w:rPr>
              <w:t>Director of Law, Governance and Strategy</w:t>
            </w:r>
          </w:p>
          <w:p w:rsidRPr="003E4C33" w:rsidR="001A1BA1" w:rsidP="000772EB" w:rsidRDefault="42DDDBA8" w14:paraId="5C806B41" w14:textId="50B1676F">
            <w:pPr>
              <w:spacing w:before="120"/>
            </w:pPr>
            <w:r w:rsidRPr="003E4C33">
              <w:t>Where required</w:t>
            </w:r>
            <w:r w:rsidRPr="003E4C33" w:rsidR="00B6369C">
              <w:t xml:space="preserve"> by the Constitution or conditions of the delegation</w:t>
            </w:r>
          </w:p>
        </w:tc>
        <w:tc>
          <w:tcPr>
            <w:tcW w:w="4536" w:type="dxa"/>
            <w:tcMar/>
            <w:vAlign w:val="center"/>
          </w:tcPr>
          <w:p w:rsidRPr="003E4C33" w:rsidR="001A1BA1" w:rsidP="1611F3DF" w:rsidRDefault="5201B486" w14:paraId="455FC1EF" w14:textId="3B77BF80">
            <w:r>
              <w:rPr>
                <w:noProof/>
              </w:rPr>
              <w:drawing>
                <wp:inline distT="0" distB="0" distL="0" distR="0" wp14:anchorId="51279E74" wp14:editId="6FBCA234">
                  <wp:extent cx="1209294" cy="659615"/>
                  <wp:effectExtent l="0" t="0" r="0" b="0"/>
                  <wp:docPr id="20564167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16778" name=""/>
                          <pic:cNvPicPr/>
                        </pic:nvPicPr>
                        <pic:blipFill>
                          <a:blip r:embed="rId15">
                            <a:extLst>
                              <a:ext uri="{28A0092B-C50C-407E-A947-70E740481C1C}">
                                <a14:useLocalDpi xmlns:a14="http://schemas.microsoft.com/office/drawing/2010/main"/>
                              </a:ext>
                            </a:extLst>
                          </a:blip>
                          <a:stretch>
                            <a:fillRect/>
                          </a:stretch>
                        </pic:blipFill>
                        <pic:spPr>
                          <a:xfrm>
                            <a:off x="0" y="0"/>
                            <a:ext cx="1209294" cy="659615"/>
                          </a:xfrm>
                          <a:prstGeom prst="rect">
                            <a:avLst/>
                          </a:prstGeom>
                        </pic:spPr>
                      </pic:pic>
                    </a:graphicData>
                  </a:graphic>
                </wp:inline>
              </w:drawing>
            </w:r>
          </w:p>
          <w:p w:rsidRPr="003E4C33" w:rsidR="001A1BA1" w:rsidP="000772EB" w:rsidRDefault="5201B486" w14:paraId="459F8630" w14:textId="17A75668">
            <w:r>
              <w:t>Emma Griffiths for and on behalf of the Director of Law, Governance and Strategy</w:t>
            </w:r>
          </w:p>
        </w:tc>
        <w:tc>
          <w:tcPr>
            <w:tcW w:w="1417" w:type="dxa"/>
            <w:tcMar/>
          </w:tcPr>
          <w:p w:rsidRPr="003E4C33" w:rsidR="001A1BA1" w:rsidP="000772EB" w:rsidRDefault="001A1BA1" w14:paraId="2D8C586D" w14:textId="6FA1C97C"/>
          <w:p w:rsidRPr="003E4C33" w:rsidR="001A1BA1" w:rsidP="000772EB" w:rsidRDefault="001A1BA1" w14:paraId="341925EA" w14:textId="3AA468F0"/>
          <w:p w:rsidRPr="003E4C33" w:rsidR="001A1BA1" w:rsidP="000772EB" w:rsidRDefault="5201B486" w14:paraId="13EBB6A8" w14:textId="361D2EFA">
            <w:r>
              <w:t>6 October 2025</w:t>
            </w:r>
          </w:p>
        </w:tc>
      </w:tr>
      <w:tr w:rsidRPr="003E4C33" w:rsidR="001A1BA1" w:rsidTr="175C3AB3" w14:paraId="266E8AC6" w14:textId="77777777">
        <w:trPr>
          <w:trHeight w:val="562"/>
        </w:trPr>
        <w:tc>
          <w:tcPr>
            <w:tcW w:w="3119" w:type="dxa"/>
            <w:tcMar/>
            <w:vAlign w:val="center"/>
          </w:tcPr>
          <w:p w:rsidRPr="003E4C33" w:rsidR="001A1BA1" w:rsidP="000772EB" w:rsidRDefault="001A1BA1" w14:paraId="0D0AF673" w14:textId="77777777">
            <w:pPr>
              <w:spacing w:before="120"/>
              <w:rPr>
                <w:b/>
              </w:rPr>
            </w:pPr>
            <w:r w:rsidRPr="003E4C33">
              <w:rPr>
                <w:b/>
              </w:rPr>
              <w:t>Cabinet Member(s)</w:t>
            </w:r>
          </w:p>
          <w:p w:rsidRPr="003E4C33" w:rsidR="001A1BA1" w:rsidP="008A34D3" w:rsidRDefault="42DDDBA8" w14:paraId="789D5AE3" w14:textId="4A107205">
            <w:pPr>
              <w:spacing w:before="120"/>
            </w:pPr>
            <w:r w:rsidRPr="003E4C33">
              <w:t xml:space="preserve">Where required </w:t>
            </w:r>
            <w:r w:rsidRPr="003E4C33" w:rsidR="18A47893">
              <w:t>by the conditions of the delegation</w:t>
            </w:r>
          </w:p>
        </w:tc>
        <w:tc>
          <w:tcPr>
            <w:tcW w:w="4536" w:type="dxa"/>
            <w:tcMar/>
            <w:vAlign w:val="center"/>
          </w:tcPr>
          <w:p w:rsidRPr="003E4C33" w:rsidR="001A1BA1" w:rsidP="000772EB" w:rsidRDefault="001A1BA1" w14:paraId="47B4B0BF" w14:textId="77777777"/>
        </w:tc>
        <w:tc>
          <w:tcPr>
            <w:tcW w:w="1417" w:type="dxa"/>
            <w:tcMar/>
            <w:vAlign w:val="center"/>
          </w:tcPr>
          <w:p w:rsidRPr="003E4C33" w:rsidR="001A1BA1" w:rsidP="000772EB" w:rsidRDefault="001A1BA1" w14:paraId="79ED7A02" w14:textId="77777777"/>
        </w:tc>
      </w:tr>
      <w:tr w:rsidRPr="003E4C33" w:rsidR="001A1BA1" w:rsidTr="175C3AB3" w14:paraId="789A1406" w14:textId="77777777">
        <w:trPr>
          <w:trHeight w:val="562"/>
        </w:trPr>
        <w:tc>
          <w:tcPr>
            <w:tcW w:w="3119" w:type="dxa"/>
            <w:tcMar/>
            <w:vAlign w:val="center"/>
          </w:tcPr>
          <w:p w:rsidRPr="003E4C33" w:rsidR="001A1BA1" w:rsidP="000772EB" w:rsidRDefault="001A1BA1" w14:paraId="79CEA511" w14:textId="77777777">
            <w:pPr>
              <w:spacing w:before="120"/>
              <w:rPr>
                <w:b/>
              </w:rPr>
            </w:pPr>
            <w:r w:rsidRPr="003E4C33">
              <w:rPr>
                <w:b/>
              </w:rPr>
              <w:t>Ward Members</w:t>
            </w:r>
          </w:p>
          <w:p w:rsidRPr="003E4C33" w:rsidR="001A1BA1" w:rsidP="000772EB" w:rsidRDefault="42DDDBA8" w14:paraId="079F86E6" w14:textId="03792320">
            <w:pPr>
              <w:spacing w:before="120"/>
            </w:pPr>
            <w:r w:rsidRPr="003E4C33">
              <w:t>Where required</w:t>
            </w:r>
            <w:r w:rsidRPr="003E4C33" w:rsidR="2187760D">
              <w:t xml:space="preserve"> by the Constitution or conditions of the delegation</w:t>
            </w:r>
          </w:p>
        </w:tc>
        <w:tc>
          <w:tcPr>
            <w:tcW w:w="4536" w:type="dxa"/>
            <w:tcMar/>
            <w:vAlign w:val="center"/>
          </w:tcPr>
          <w:p w:rsidRPr="003E4C33" w:rsidR="001A1BA1" w:rsidP="000772EB" w:rsidRDefault="001A1BA1" w14:paraId="0E06D3A4" w14:textId="77777777"/>
        </w:tc>
        <w:tc>
          <w:tcPr>
            <w:tcW w:w="1417" w:type="dxa"/>
            <w:tcMar/>
            <w:vAlign w:val="center"/>
          </w:tcPr>
          <w:p w:rsidRPr="003E4C33" w:rsidR="001A1BA1" w:rsidP="000772EB" w:rsidRDefault="001A1BA1" w14:paraId="36F1E2E4" w14:textId="766E5F6A"/>
        </w:tc>
      </w:tr>
    </w:tbl>
    <w:p w:rsidRPr="003E4C33" w:rsidR="004456DD" w:rsidP="0BC4DFF5" w:rsidRDefault="004456DD" w14:paraId="7DAF2BCF" w14:textId="2CC66BA6">
      <w:pPr>
        <w:rPr>
          <w:rFonts w:cs="Arial"/>
          <w:b/>
          <w:bCs/>
        </w:rPr>
      </w:pPr>
    </w:p>
    <w:p w:rsidR="00294B3A" w:rsidP="0BC4DFF5" w:rsidRDefault="00294B3A" w14:paraId="3AA10703" w14:textId="77777777">
      <w:pPr>
        <w:rPr>
          <w:rFonts w:cs="Arial"/>
          <w:b/>
          <w:bCs/>
        </w:rPr>
      </w:pPr>
    </w:p>
    <w:p w:rsidR="00294B3A" w:rsidP="0BC4DFF5" w:rsidRDefault="00294B3A" w14:paraId="0B53FDBB" w14:textId="77777777">
      <w:pPr>
        <w:rPr>
          <w:rFonts w:cs="Arial"/>
          <w:bCs/>
        </w:rPr>
      </w:pPr>
    </w:p>
    <w:p w:rsidR="00294B3A" w:rsidP="0BC4DFF5" w:rsidRDefault="00294B3A" w14:paraId="30C768E9" w14:textId="77777777">
      <w:pPr>
        <w:rPr>
          <w:rFonts w:cs="Arial"/>
          <w:bCs/>
        </w:rPr>
      </w:pPr>
    </w:p>
    <w:p w:rsidRPr="003E4C33" w:rsidR="004456DD" w:rsidP="0BC4DFF5" w:rsidRDefault="2B7BAFE9" w14:paraId="49FF2A28" w14:textId="3039B452">
      <w:pPr>
        <w:rPr>
          <w:rFonts w:cs="Arial"/>
          <w:b/>
          <w:bCs/>
        </w:rPr>
      </w:pPr>
      <w:r w:rsidRPr="003E4C33">
        <w:rPr>
          <w:rFonts w:cs="Arial"/>
          <w:b/>
          <w:bCs/>
        </w:rPr>
        <w:lastRenderedPageBreak/>
        <w:t>Decision Maker Approval</w:t>
      </w:r>
    </w:p>
    <w:tbl>
      <w:tblPr>
        <w:tblStyle w:val="TableGrid1"/>
        <w:tblW w:w="6993" w:type="dxa"/>
        <w:tblInd w:w="137" w:type="dxa"/>
        <w:tblLook w:val="04A0" w:firstRow="1" w:lastRow="0" w:firstColumn="1" w:lastColumn="0" w:noHBand="0" w:noVBand="1"/>
      </w:tblPr>
      <w:tblGrid>
        <w:gridCol w:w="5103"/>
        <w:gridCol w:w="1890"/>
      </w:tblGrid>
      <w:tr w:rsidRPr="003E4C33" w:rsidR="0BC4DFF5" w:rsidTr="175C3AB3" w14:paraId="56628C58" w14:textId="77777777">
        <w:trPr>
          <w:trHeight w:val="300"/>
        </w:trPr>
        <w:tc>
          <w:tcPr>
            <w:tcW w:w="5103" w:type="dxa"/>
            <w:tcMar/>
            <w:vAlign w:val="center"/>
          </w:tcPr>
          <w:p w:rsidRPr="003E4C33" w:rsidR="0BC4DFF5" w:rsidP="0BC4DFF5" w:rsidRDefault="0BC4DFF5" w14:paraId="0E828CBD" w14:textId="77777777">
            <w:pPr>
              <w:rPr>
                <w:b/>
                <w:bCs/>
                <w:i/>
                <w:iCs/>
              </w:rPr>
            </w:pPr>
            <w:r w:rsidRPr="003E4C33">
              <w:rPr>
                <w:b/>
                <w:bCs/>
                <w:i/>
                <w:iCs/>
              </w:rPr>
              <w:t>Name and job title</w:t>
            </w:r>
          </w:p>
        </w:tc>
        <w:tc>
          <w:tcPr>
            <w:tcW w:w="1890" w:type="dxa"/>
            <w:tcMar/>
            <w:vAlign w:val="center"/>
          </w:tcPr>
          <w:p w:rsidRPr="003E4C33" w:rsidR="0BC4DFF5" w:rsidP="0BC4DFF5" w:rsidRDefault="0BC4DFF5" w14:paraId="26A26CF0" w14:textId="77777777">
            <w:pPr>
              <w:rPr>
                <w:b/>
                <w:bCs/>
                <w:i/>
                <w:iCs/>
              </w:rPr>
            </w:pPr>
            <w:r w:rsidRPr="003E4C33">
              <w:rPr>
                <w:b/>
                <w:bCs/>
                <w:i/>
                <w:iCs/>
              </w:rPr>
              <w:t xml:space="preserve">Date </w:t>
            </w:r>
          </w:p>
        </w:tc>
      </w:tr>
      <w:tr w:rsidRPr="003E4C33" w:rsidR="0BC4DFF5" w:rsidTr="175C3AB3" w14:paraId="2894A491" w14:textId="77777777">
        <w:trPr>
          <w:trHeight w:val="300"/>
        </w:trPr>
        <w:tc>
          <w:tcPr>
            <w:tcW w:w="5103" w:type="dxa"/>
            <w:tcMar/>
            <w:vAlign w:val="center"/>
          </w:tcPr>
          <w:p w:rsidR="0BC4DFF5" w:rsidP="1611F3DF" w:rsidRDefault="0BC4DFF5" w14:paraId="383E84DB" w14:textId="6D10722E">
            <w:pPr>
              <w:rPr>
                <w:color w:val="auto"/>
              </w:rPr>
            </w:pPr>
          </w:p>
          <w:p w:rsidR="00294B3A" w:rsidP="1924BDDD" w:rsidRDefault="00294B3A" w14:paraId="2AF9501D" w14:textId="5A5A644F">
            <w:pPr>
              <w:pStyle w:val="Normal"/>
            </w:pPr>
            <w:r w:rsidR="3FBA2EED">
              <w:drawing>
                <wp:inline wp14:editId="3832550F" wp14:anchorId="138828EE">
                  <wp:extent cx="1975275" cy="725487"/>
                  <wp:effectExtent l="0" t="0" r="0" b="0"/>
                  <wp:docPr id="9221055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2105582" name=""/>
                          <pic:cNvPicPr/>
                        </pic:nvPicPr>
                        <pic:blipFill>
                          <a:blip xmlns:r="http://schemas.openxmlformats.org/officeDocument/2006/relationships" r:embed="rId343683993">
                            <a:extLst>
                              <a:ext xmlns:a="http://schemas.openxmlformats.org/drawingml/2006/main" uri="{28A0092B-C50C-407E-A947-70E740481C1C}">
                                <a14:useLocalDpi xmlns:a14="http://schemas.microsoft.com/office/drawing/2010/main" val="0"/>
                              </a:ext>
                            </a:extLst>
                          </a:blip>
                          <a:stretch>
                            <a:fillRect/>
                          </a:stretch>
                        </pic:blipFill>
                        <pic:spPr>
                          <a:xfrm>
                            <a:off x="0" y="0"/>
                            <a:ext cx="1975275" cy="725487"/>
                          </a:xfrm>
                          <a:prstGeom prst="rect">
                            <a:avLst/>
                          </a:prstGeom>
                        </pic:spPr>
                      </pic:pic>
                    </a:graphicData>
                  </a:graphic>
                </wp:inline>
              </w:drawing>
            </w:r>
          </w:p>
          <w:p w:rsidR="00294B3A" w:rsidP="1611F3DF" w:rsidRDefault="00294B3A" w14:paraId="0F4E35D7" w14:textId="77777777">
            <w:pPr>
              <w:rPr>
                <w:color w:val="auto"/>
              </w:rPr>
            </w:pPr>
          </w:p>
          <w:p w:rsidRPr="00C55247" w:rsidR="00294B3A" w:rsidP="1611F3DF" w:rsidRDefault="00294B3A" w14:paraId="249841EC" w14:textId="41F5DB93">
            <w:pPr>
              <w:rPr>
                <w:color w:val="auto"/>
              </w:rPr>
            </w:pPr>
            <w:r>
              <w:rPr>
                <w:color w:val="auto"/>
              </w:rPr>
              <w:t>Jane Winfield, Director Property &amp; Assets</w:t>
            </w:r>
          </w:p>
        </w:tc>
        <w:tc>
          <w:tcPr>
            <w:tcW w:w="1890" w:type="dxa"/>
            <w:tcMar/>
            <w:vAlign w:val="center"/>
          </w:tcPr>
          <w:p w:rsidRPr="003E4C33" w:rsidR="00CB7A4F" w:rsidRDefault="00CB7A4F" w14:paraId="32E398AB" w14:textId="484C2B09">
            <w:r w:rsidR="42ABF483">
              <w:rPr/>
              <w:t>09/10/2025</w:t>
            </w:r>
          </w:p>
        </w:tc>
      </w:tr>
    </w:tbl>
    <w:p w:rsidRPr="003E4C33" w:rsidR="001A1BA1" w:rsidP="0093067A" w:rsidRDefault="001A1BA1" w14:paraId="5D0123A9" w14:textId="77777777">
      <w:pPr>
        <w:rPr>
          <w:rFonts w:cs="Arial"/>
        </w:rPr>
      </w:pPr>
    </w:p>
    <w:p w:rsidRPr="003E4C33" w:rsidR="001A1BA1" w:rsidP="0BC4DFF5" w:rsidRDefault="001A1BA1" w14:paraId="51E1354B" w14:textId="51A32FE4">
      <w:pPr>
        <w:rPr>
          <w:rFonts w:cs="Arial"/>
        </w:rPr>
      </w:pPr>
      <w:r w:rsidRPr="003E4C33">
        <w:rPr>
          <w:rFonts w:cs="Arial"/>
        </w:rPr>
        <w:t xml:space="preserve">This form must be completed and sent to Committee and Member Services </w:t>
      </w:r>
      <w:r w:rsidRPr="003E4C33" w:rsidR="0A996ACD">
        <w:rPr>
          <w:rFonts w:cs="Arial"/>
          <w:b/>
          <w:bCs/>
        </w:rPr>
        <w:t xml:space="preserve">on the date that the decision maker signs it. This must be only done once all consultees have given their approval. </w:t>
      </w:r>
      <w:r w:rsidRPr="003E4C33" w:rsidR="00354567">
        <w:rPr>
          <w:rFonts w:cs="Arial"/>
          <w:b/>
          <w:bCs/>
        </w:rPr>
        <w:t xml:space="preserve"> The decision shall be effective from the date of </w:t>
      </w:r>
      <w:r w:rsidRPr="003E4C33" w:rsidR="395C47E3">
        <w:rPr>
          <w:rFonts w:cs="Arial"/>
          <w:b/>
          <w:bCs/>
        </w:rPr>
        <w:t>publication;</w:t>
      </w:r>
      <w:r w:rsidRPr="003E4C33" w:rsidR="7126238E">
        <w:rPr>
          <w:rFonts w:cs="Arial"/>
          <w:b/>
          <w:bCs/>
        </w:rPr>
        <w:t xml:space="preserve"> </w:t>
      </w:r>
      <w:r w:rsidRPr="003E4C33" w:rsidR="4E780D21">
        <w:rPr>
          <w:rFonts w:cs="Arial"/>
          <w:b/>
          <w:bCs/>
        </w:rPr>
        <w:t>therefore,</w:t>
      </w:r>
      <w:r w:rsidRPr="003E4C33" w:rsidR="7126238E">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Pr="003E4C33" w:rsidR="7126238E">
        <w:rPr>
          <w:rFonts w:cs="Arial"/>
          <w:b/>
          <w:bCs/>
        </w:rPr>
        <w:t>call in</w:t>
      </w:r>
      <w:proofErr w:type="gramEnd"/>
      <w:r w:rsidRPr="003E4C33" w:rsidR="7126238E">
        <w:rPr>
          <w:rFonts w:cs="Arial"/>
          <w:b/>
          <w:bCs/>
        </w:rPr>
        <w:t xml:space="preserve"> period has passed. </w:t>
      </w:r>
    </w:p>
    <w:p w:rsidRPr="003E4C33" w:rsidR="001A1BA1" w:rsidP="004D3596" w:rsidRDefault="001A1BA1" w14:paraId="49DB25B0" w14:textId="0952F75A">
      <w:pPr>
        <w:spacing w:after="0"/>
        <w:rPr>
          <w:rFonts w:cs="Arial"/>
        </w:rPr>
      </w:pPr>
    </w:p>
    <w:sectPr w:rsidRPr="003E4C33" w:rsidR="001A1BA1" w:rsidSect="002B6836">
      <w:headerReference w:type="even" r:id="rId16"/>
      <w:headerReference w:type="default" r:id="rId17"/>
      <w:footerReference w:type="even" r:id="rId18"/>
      <w:footerReference w:type="default" r:id="rId19"/>
      <w:headerReference w:type="first" r:id="rId20"/>
      <w:footerReference w:type="first" r:id="rId21"/>
      <w:pgSz w:w="11906" w:h="16838" w:orient="portrait"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B9A" w:rsidP="004A6D2F" w:rsidRDefault="00515B9A" w14:paraId="4CD25A46" w14:textId="77777777">
      <w:r>
        <w:separator/>
      </w:r>
    </w:p>
  </w:endnote>
  <w:endnote w:type="continuationSeparator" w:id="0">
    <w:p w:rsidR="00515B9A" w:rsidP="004A6D2F" w:rsidRDefault="00515B9A" w14:paraId="2C13B961" w14:textId="77777777">
      <w:r>
        <w:continuationSeparator/>
      </w:r>
    </w:p>
  </w:endnote>
  <w:endnote w:type="continuationNotice" w:id="1">
    <w:p w:rsidR="00515B9A" w:rsidRDefault="00515B9A" w14:paraId="34CC1FB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6AE396E9" w14:textId="77777777">
    <w:pPr>
      <w:pStyle w:val="Footer"/>
    </w:pPr>
    <w:r>
      <w:t>Do not use a footer or page numbers.</w:t>
    </w:r>
  </w:p>
  <w:p w:rsidR="00364FAD" w:rsidP="004A6D2F" w:rsidRDefault="00364FAD" w14:paraId="382151EB" w14:textId="77777777">
    <w:pPr>
      <w:pStyle w:val="Footer"/>
    </w:pPr>
  </w:p>
  <w:p w:rsidR="00364FAD" w:rsidP="004A6D2F" w:rsidRDefault="00364FAD" w14:paraId="715086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064B" w:rsidR="005B064B" w:rsidP="005B064B" w:rsidRDefault="001A1BA1" w14:paraId="002B452A" w14:textId="0467CAC3">
    <w:pPr>
      <w:pStyle w:val="Footer"/>
      <w:jc w:val="center"/>
      <w:rPr>
        <w:rFonts w:cs="Arial"/>
        <w:b/>
        <w:sz w:val="24"/>
      </w:rPr>
    </w:pPr>
    <w:r w:rsidRPr="001A1BA1">
      <w:rPr>
        <w:rFonts w:cs="Arial"/>
        <w:b/>
        <w:sz w:val="24"/>
      </w:rPr>
      <w:t xml:space="preserve">Please send the completed form to </w:t>
    </w:r>
    <w:hyperlink w:history="1" r:id="rId1">
      <w:r w:rsidRPr="00936544" w:rsidR="005B064B">
        <w:rPr>
          <w:rStyle w:val="Hyperlink"/>
          <w:rFonts w:cs="Arial"/>
          <w:b/>
        </w:rPr>
        <w:t>acforwardplan@oxford.gov.uk</w:t>
      </w:r>
    </w:hyperlink>
    <w:r w:rsidRPr="005B064B" w:rsidR="005B064B">
      <w:rPr>
        <w:rFonts w:cs="Arial"/>
        <w:b/>
        <w:color w:val="0000FF"/>
        <w:sz w:val="24"/>
        <w:u w:val="single"/>
      </w:rPr>
      <w:t xml:space="preserve"> </w:t>
    </w:r>
  </w:p>
  <w:p w:rsidR="001A1BA1" w:rsidRDefault="001A1BA1" w14:paraId="5B75182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rsidTr="0287E82A" w14:paraId="51E1F694" w14:textId="77777777">
      <w:trPr>
        <w:trHeight w:val="300"/>
      </w:trPr>
      <w:tc>
        <w:tcPr>
          <w:tcW w:w="3095" w:type="dxa"/>
        </w:tcPr>
        <w:p w:rsidR="0287E82A" w:rsidP="0287E82A" w:rsidRDefault="0287E82A" w14:paraId="126F9EB7" w14:textId="11AAB0A5">
          <w:pPr>
            <w:pStyle w:val="Header"/>
            <w:ind w:left="-115"/>
          </w:pPr>
        </w:p>
      </w:tc>
      <w:tc>
        <w:tcPr>
          <w:tcW w:w="3095" w:type="dxa"/>
        </w:tcPr>
        <w:p w:rsidR="0287E82A" w:rsidP="0287E82A" w:rsidRDefault="0287E82A" w14:paraId="64C45085" w14:textId="32C406C4">
          <w:pPr>
            <w:pStyle w:val="Header"/>
            <w:jc w:val="center"/>
          </w:pPr>
        </w:p>
      </w:tc>
      <w:tc>
        <w:tcPr>
          <w:tcW w:w="3095" w:type="dxa"/>
        </w:tcPr>
        <w:p w:rsidR="0287E82A" w:rsidP="0287E82A" w:rsidRDefault="0287E82A" w14:paraId="3629DF67" w14:textId="523EA6A7">
          <w:pPr>
            <w:pStyle w:val="Header"/>
            <w:ind w:right="-115"/>
            <w:jc w:val="right"/>
          </w:pPr>
        </w:p>
      </w:tc>
    </w:tr>
  </w:tbl>
  <w:p w:rsidR="0287E82A" w:rsidRDefault="0287E82A" w14:paraId="2AB29197" w14:textId="39E39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B9A" w:rsidP="004A6D2F" w:rsidRDefault="00515B9A" w14:paraId="5FB0B89A" w14:textId="77777777">
      <w:r>
        <w:separator/>
      </w:r>
    </w:p>
  </w:footnote>
  <w:footnote w:type="continuationSeparator" w:id="0">
    <w:p w:rsidR="00515B9A" w:rsidP="004A6D2F" w:rsidRDefault="00515B9A" w14:paraId="2E6BBCC7" w14:textId="77777777">
      <w:r>
        <w:continuationSeparator/>
      </w:r>
    </w:p>
  </w:footnote>
  <w:footnote w:type="continuationNotice" w:id="1">
    <w:p w:rsidR="00515B9A" w:rsidRDefault="00515B9A" w14:paraId="0EF3083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64B" w:rsidRDefault="005B064B" w14:paraId="7513E0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95"/>
      <w:gridCol w:w="3095"/>
      <w:gridCol w:w="3095"/>
    </w:tblGrid>
    <w:tr w:rsidR="0287E82A" w:rsidTr="0287E82A" w14:paraId="428AB7D6" w14:textId="77777777">
      <w:trPr>
        <w:trHeight w:val="300"/>
      </w:trPr>
      <w:tc>
        <w:tcPr>
          <w:tcW w:w="3095" w:type="dxa"/>
        </w:tcPr>
        <w:p w:rsidR="0287E82A" w:rsidP="0287E82A" w:rsidRDefault="0287E82A" w14:paraId="335EDB8C" w14:textId="1DA382D9">
          <w:pPr>
            <w:pStyle w:val="Header"/>
            <w:ind w:left="-115"/>
          </w:pPr>
        </w:p>
      </w:tc>
      <w:tc>
        <w:tcPr>
          <w:tcW w:w="3095" w:type="dxa"/>
        </w:tcPr>
        <w:p w:rsidR="0287E82A" w:rsidP="0287E82A" w:rsidRDefault="0287E82A" w14:paraId="063D6891" w14:textId="4377102D">
          <w:pPr>
            <w:pStyle w:val="Header"/>
            <w:jc w:val="center"/>
          </w:pPr>
        </w:p>
      </w:tc>
      <w:tc>
        <w:tcPr>
          <w:tcW w:w="3095" w:type="dxa"/>
        </w:tcPr>
        <w:p w:rsidR="0287E82A" w:rsidP="0287E82A" w:rsidRDefault="0287E82A" w14:paraId="5966C48B" w14:textId="4772D183">
          <w:pPr>
            <w:pStyle w:val="Header"/>
            <w:ind w:right="-115"/>
            <w:jc w:val="right"/>
          </w:pPr>
        </w:p>
      </w:tc>
    </w:tr>
  </w:tbl>
  <w:p w:rsidR="0287E82A" w:rsidP="0287E82A" w:rsidRDefault="0287E82A" w14:paraId="2B32A097" w14:textId="03258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5A9C2914" w14:textId="77777777">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hint="default"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E152B2"/>
    <w:multiLevelType w:val="hybridMultilevel"/>
    <w:tmpl w:val="9BBCF3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2263A6A"/>
    <w:multiLevelType w:val="multilevel"/>
    <w:tmpl w:val="43D6D2FA"/>
    <w:numStyleLink w:val="StyleBulletedSymbolsymbolLeft063cmHanging063cm"/>
  </w:abstractNum>
  <w:abstractNum w:abstractNumId="21"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0CC19FC"/>
    <w:multiLevelType w:val="hybridMultilevel"/>
    <w:tmpl w:val="24321A4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1818E4"/>
    <w:multiLevelType w:val="multilevel"/>
    <w:tmpl w:val="9056D68A"/>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2" w15:restartNumberingAfterBreak="0">
    <w:nsid w:val="562B6F75"/>
    <w:multiLevelType w:val="multilevel"/>
    <w:tmpl w:val="50CCF89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3"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5ABA5FD8"/>
    <w:multiLevelType w:val="multilevel"/>
    <w:tmpl w:val="43D6D2FA"/>
    <w:numStyleLink w:val="StyleBulletedSymbolsymbolLeft063cmHanging063cm"/>
  </w:abstractNum>
  <w:abstractNum w:abstractNumId="35"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2A22831"/>
    <w:multiLevelType w:val="multilevel"/>
    <w:tmpl w:val="43D6D2FA"/>
    <w:numStyleLink w:val="StyleBulletedSymbolsymbolLeft063cmHanging063cm"/>
  </w:abstractNum>
  <w:abstractNum w:abstractNumId="37" w15:restartNumberingAfterBreak="0">
    <w:nsid w:val="69829246"/>
    <w:multiLevelType w:val="multilevel"/>
    <w:tmpl w:val="8EEA275E"/>
    <w:lvl w:ilvl="0">
      <w:start w:val="1"/>
      <w:numFmt w:val="decimal"/>
      <w:lvlText w:val="%1."/>
      <w:lvlJc w:val="left"/>
      <w:pPr>
        <w:ind w:left="360"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5F76972"/>
    <w:multiLevelType w:val="hybridMultilevel"/>
    <w:tmpl w:val="0EF429D8"/>
    <w:lvl w:ilvl="0" w:tplc="CF64A572">
      <w:start w:val="1"/>
      <w:numFmt w:val="bullet"/>
      <w:lvlText w:val=""/>
      <w:lvlJc w:val="left"/>
      <w:pPr>
        <w:ind w:left="720" w:hanging="360"/>
      </w:pPr>
      <w:rPr>
        <w:rFonts w:hint="default" w:ascii="Symbol" w:hAnsi="Symbol"/>
        <w:color w:val="A6A6A6" w:themeColor="background1" w:themeShade="A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98365C6"/>
    <w:multiLevelType w:val="multilevel"/>
    <w:tmpl w:val="E67CE66C"/>
    <w:numStyleLink w:val="StyleNumberedLeft0cmHanging075cm"/>
  </w:abstractNum>
  <w:abstractNum w:abstractNumId="44" w15:restartNumberingAfterBreak="0">
    <w:nsid w:val="7C300CEE"/>
    <w:multiLevelType w:val="hybridMultilevel"/>
    <w:tmpl w:val="D5140A3A"/>
    <w:lvl w:ilvl="0" w:tplc="94D425EC">
      <w:start w:val="1"/>
      <w:numFmt w:val="bullet"/>
      <w:pStyle w:val="dBulletpoints"/>
      <w:lvlText w:val=""/>
      <w:lvlJc w:val="left"/>
      <w:pPr>
        <w:ind w:left="1211" w:hanging="360"/>
      </w:pPr>
      <w:rPr>
        <w:rFonts w:hint="default" w:ascii="Symbol" w:hAnsi="Symbol"/>
      </w:rPr>
    </w:lvl>
    <w:lvl w:ilvl="1" w:tplc="08090003">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num w:numId="1" w16cid:durableId="1416632117">
    <w:abstractNumId w:val="37"/>
  </w:num>
  <w:num w:numId="2" w16cid:durableId="295525028">
    <w:abstractNumId w:val="16"/>
  </w:num>
  <w:num w:numId="3" w16cid:durableId="449398042">
    <w:abstractNumId w:val="33"/>
  </w:num>
  <w:num w:numId="4" w16cid:durableId="155997720">
    <w:abstractNumId w:val="39"/>
  </w:num>
  <w:num w:numId="5" w16cid:durableId="684749378">
    <w:abstractNumId w:val="28"/>
  </w:num>
  <w:num w:numId="6" w16cid:durableId="432477665">
    <w:abstractNumId w:val="21"/>
  </w:num>
  <w:num w:numId="7" w16cid:durableId="1168204831">
    <w:abstractNumId w:val="35"/>
  </w:num>
  <w:num w:numId="8" w16cid:durableId="155805248">
    <w:abstractNumId w:val="41"/>
  </w:num>
  <w:num w:numId="9" w16cid:durableId="1582835092">
    <w:abstractNumId w:val="27"/>
  </w:num>
  <w:num w:numId="10" w16cid:durableId="1896813794">
    <w:abstractNumId w:val="23"/>
  </w:num>
  <w:num w:numId="11" w16cid:durableId="1223564051">
    <w:abstractNumId w:val="14"/>
  </w:num>
  <w:num w:numId="12" w16cid:durableId="1616984022">
    <w:abstractNumId w:val="18"/>
  </w:num>
  <w:num w:numId="13" w16cid:durableId="611942354">
    <w:abstractNumId w:val="30"/>
  </w:num>
  <w:num w:numId="14" w16cid:durableId="48847933">
    <w:abstractNumId w:val="29"/>
  </w:num>
  <w:num w:numId="15" w16cid:durableId="1594360626">
    <w:abstractNumId w:val="11"/>
  </w:num>
  <w:num w:numId="16" w16cid:durableId="806975598">
    <w:abstractNumId w:val="43"/>
  </w:num>
  <w:num w:numId="17" w16cid:durableId="1143692141">
    <w:abstractNumId w:val="19"/>
  </w:num>
  <w:num w:numId="18" w16cid:durableId="290284048">
    <w:abstractNumId w:val="12"/>
  </w:num>
  <w:num w:numId="19" w16cid:durableId="346717609">
    <w:abstractNumId w:val="34"/>
  </w:num>
  <w:num w:numId="20" w16cid:durableId="490602500">
    <w:abstractNumId w:val="13"/>
  </w:num>
  <w:num w:numId="21" w16cid:durableId="1664510238">
    <w:abstractNumId w:val="36"/>
  </w:num>
  <w:num w:numId="22" w16cid:durableId="1264797914">
    <w:abstractNumId w:val="20"/>
  </w:num>
  <w:num w:numId="23" w16cid:durableId="1892495712">
    <w:abstractNumId w:val="24"/>
  </w:num>
  <w:num w:numId="24" w16cid:durableId="1551064890">
    <w:abstractNumId w:val="15"/>
  </w:num>
  <w:num w:numId="25" w16cid:durableId="637807967">
    <w:abstractNumId w:val="38"/>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1"/>
  </w:num>
  <w:num w:numId="37" w16cid:durableId="840047793">
    <w:abstractNumId w:val="32"/>
  </w:num>
  <w:num w:numId="38" w16cid:durableId="1263950813">
    <w:abstractNumId w:val="42"/>
  </w:num>
  <w:num w:numId="39" w16cid:durableId="327559103">
    <w:abstractNumId w:val="10"/>
  </w:num>
  <w:num w:numId="40" w16cid:durableId="1311447890">
    <w:abstractNumId w:val="44"/>
  </w:num>
  <w:num w:numId="41" w16cid:durableId="1370304610">
    <w:abstractNumId w:val="40"/>
  </w:num>
  <w:num w:numId="42" w16cid:durableId="1152941978">
    <w:abstractNumId w:val="22"/>
  </w:num>
  <w:num w:numId="43" w16cid:durableId="491873441">
    <w:abstractNumId w:val="25"/>
  </w:num>
  <w:num w:numId="44" w16cid:durableId="2006741231">
    <w:abstractNumId w:val="26"/>
  </w:num>
  <w:num w:numId="45" w16cid:durableId="473832940">
    <w:abstractNumId w:val="17"/>
  </w:num>
  <w:num w:numId="46" w16cid:durableId="502939143">
    <w:abstractNumId w:val="4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3A09"/>
    <w:rsid w:val="0001511A"/>
    <w:rsid w:val="000314D7"/>
    <w:rsid w:val="00034054"/>
    <w:rsid w:val="00043965"/>
    <w:rsid w:val="00045709"/>
    <w:rsid w:val="00045F8B"/>
    <w:rsid w:val="00046D2B"/>
    <w:rsid w:val="00056263"/>
    <w:rsid w:val="00064D8A"/>
    <w:rsid w:val="00064F82"/>
    <w:rsid w:val="00066510"/>
    <w:rsid w:val="00077523"/>
    <w:rsid w:val="0008425C"/>
    <w:rsid w:val="000B1DFC"/>
    <w:rsid w:val="000C089F"/>
    <w:rsid w:val="000C260D"/>
    <w:rsid w:val="000C3928"/>
    <w:rsid w:val="000C51D6"/>
    <w:rsid w:val="000C5E8E"/>
    <w:rsid w:val="000E4465"/>
    <w:rsid w:val="000F3878"/>
    <w:rsid w:val="000F4751"/>
    <w:rsid w:val="0010366F"/>
    <w:rsid w:val="001042CF"/>
    <w:rsid w:val="0010524C"/>
    <w:rsid w:val="00111FB1"/>
    <w:rsid w:val="00113418"/>
    <w:rsid w:val="00117C1C"/>
    <w:rsid w:val="00124E5C"/>
    <w:rsid w:val="001317AE"/>
    <w:rsid w:val="00131ED8"/>
    <w:rsid w:val="001356F1"/>
    <w:rsid w:val="001358D8"/>
    <w:rsid w:val="00135CEE"/>
    <w:rsid w:val="00136994"/>
    <w:rsid w:val="0014128E"/>
    <w:rsid w:val="00151888"/>
    <w:rsid w:val="00170A2D"/>
    <w:rsid w:val="001808BC"/>
    <w:rsid w:val="00182B81"/>
    <w:rsid w:val="0018619D"/>
    <w:rsid w:val="00195292"/>
    <w:rsid w:val="001A011E"/>
    <w:rsid w:val="001A066A"/>
    <w:rsid w:val="001A13E6"/>
    <w:rsid w:val="001A1BA1"/>
    <w:rsid w:val="001A5731"/>
    <w:rsid w:val="001B42C3"/>
    <w:rsid w:val="001C5D5E"/>
    <w:rsid w:val="001C6080"/>
    <w:rsid w:val="001D55B1"/>
    <w:rsid w:val="001D678D"/>
    <w:rsid w:val="001E03F8"/>
    <w:rsid w:val="001E1678"/>
    <w:rsid w:val="001E3376"/>
    <w:rsid w:val="002069B3"/>
    <w:rsid w:val="00206EFC"/>
    <w:rsid w:val="002112E6"/>
    <w:rsid w:val="00226F8A"/>
    <w:rsid w:val="002329CF"/>
    <w:rsid w:val="00232F5B"/>
    <w:rsid w:val="00236AD4"/>
    <w:rsid w:val="00241830"/>
    <w:rsid w:val="00247C29"/>
    <w:rsid w:val="00260467"/>
    <w:rsid w:val="00263EA3"/>
    <w:rsid w:val="00277FE5"/>
    <w:rsid w:val="00283A3F"/>
    <w:rsid w:val="00284F85"/>
    <w:rsid w:val="002870C3"/>
    <w:rsid w:val="00290915"/>
    <w:rsid w:val="0029099B"/>
    <w:rsid w:val="00294B3A"/>
    <w:rsid w:val="002A22E2"/>
    <w:rsid w:val="002A4706"/>
    <w:rsid w:val="002B46A9"/>
    <w:rsid w:val="002B6836"/>
    <w:rsid w:val="002B6E80"/>
    <w:rsid w:val="002C64F7"/>
    <w:rsid w:val="002D406D"/>
    <w:rsid w:val="002F41F2"/>
    <w:rsid w:val="00301BF3"/>
    <w:rsid w:val="0030208D"/>
    <w:rsid w:val="00323418"/>
    <w:rsid w:val="00325B33"/>
    <w:rsid w:val="003273FD"/>
    <w:rsid w:val="0033565F"/>
    <w:rsid w:val="003357BF"/>
    <w:rsid w:val="00340B77"/>
    <w:rsid w:val="00354567"/>
    <w:rsid w:val="00355C2A"/>
    <w:rsid w:val="00364FAD"/>
    <w:rsid w:val="0036738F"/>
    <w:rsid w:val="0036759C"/>
    <w:rsid w:val="00367AE5"/>
    <w:rsid w:val="00367D71"/>
    <w:rsid w:val="00372A82"/>
    <w:rsid w:val="0038150A"/>
    <w:rsid w:val="003842AD"/>
    <w:rsid w:val="003B6E75"/>
    <w:rsid w:val="003B7DA1"/>
    <w:rsid w:val="003D0379"/>
    <w:rsid w:val="003D2574"/>
    <w:rsid w:val="003D4C59"/>
    <w:rsid w:val="003E4C33"/>
    <w:rsid w:val="003F4267"/>
    <w:rsid w:val="003F445F"/>
    <w:rsid w:val="00404032"/>
    <w:rsid w:val="0040736F"/>
    <w:rsid w:val="004109E5"/>
    <w:rsid w:val="00412C1F"/>
    <w:rsid w:val="00421CB2"/>
    <w:rsid w:val="004268B9"/>
    <w:rsid w:val="00433B96"/>
    <w:rsid w:val="00437E4E"/>
    <w:rsid w:val="00442C9D"/>
    <w:rsid w:val="004440F1"/>
    <w:rsid w:val="004456DD"/>
    <w:rsid w:val="00446CDF"/>
    <w:rsid w:val="004521B7"/>
    <w:rsid w:val="004548E0"/>
    <w:rsid w:val="004563F0"/>
    <w:rsid w:val="00462AB5"/>
    <w:rsid w:val="00465EAF"/>
    <w:rsid w:val="004738C5"/>
    <w:rsid w:val="0047737B"/>
    <w:rsid w:val="00477965"/>
    <w:rsid w:val="00491046"/>
    <w:rsid w:val="00496078"/>
    <w:rsid w:val="004A2AC7"/>
    <w:rsid w:val="004A39C3"/>
    <w:rsid w:val="004A6D2F"/>
    <w:rsid w:val="004B11AE"/>
    <w:rsid w:val="004C2887"/>
    <w:rsid w:val="004D2626"/>
    <w:rsid w:val="004D29A8"/>
    <w:rsid w:val="004D3596"/>
    <w:rsid w:val="004D6E26"/>
    <w:rsid w:val="004D77D3"/>
    <w:rsid w:val="004D7843"/>
    <w:rsid w:val="004E2959"/>
    <w:rsid w:val="004F20EF"/>
    <w:rsid w:val="004F3BF2"/>
    <w:rsid w:val="004F5223"/>
    <w:rsid w:val="004F554F"/>
    <w:rsid w:val="0050321C"/>
    <w:rsid w:val="00507ECC"/>
    <w:rsid w:val="00512370"/>
    <w:rsid w:val="00514C7D"/>
    <w:rsid w:val="00515B9A"/>
    <w:rsid w:val="00522AA8"/>
    <w:rsid w:val="00523261"/>
    <w:rsid w:val="00531B79"/>
    <w:rsid w:val="00531E16"/>
    <w:rsid w:val="0054712D"/>
    <w:rsid w:val="00547EF6"/>
    <w:rsid w:val="0055056C"/>
    <w:rsid w:val="005570B5"/>
    <w:rsid w:val="00566DCF"/>
    <w:rsid w:val="00567E18"/>
    <w:rsid w:val="00575F5F"/>
    <w:rsid w:val="00576CD0"/>
    <w:rsid w:val="00581805"/>
    <w:rsid w:val="0058194E"/>
    <w:rsid w:val="00585F76"/>
    <w:rsid w:val="005A34E4"/>
    <w:rsid w:val="005A6610"/>
    <w:rsid w:val="005B064B"/>
    <w:rsid w:val="005B17F2"/>
    <w:rsid w:val="005B7FB0"/>
    <w:rsid w:val="005C35A5"/>
    <w:rsid w:val="005C577C"/>
    <w:rsid w:val="005D0621"/>
    <w:rsid w:val="005D1E27"/>
    <w:rsid w:val="005D2A3E"/>
    <w:rsid w:val="005E022E"/>
    <w:rsid w:val="005E2B45"/>
    <w:rsid w:val="005E5215"/>
    <w:rsid w:val="005F224D"/>
    <w:rsid w:val="005F7F7E"/>
    <w:rsid w:val="00614693"/>
    <w:rsid w:val="00622741"/>
    <w:rsid w:val="00623C2F"/>
    <w:rsid w:val="00630829"/>
    <w:rsid w:val="00633578"/>
    <w:rsid w:val="0063408C"/>
    <w:rsid w:val="00635E3E"/>
    <w:rsid w:val="00637068"/>
    <w:rsid w:val="00640C70"/>
    <w:rsid w:val="006419CA"/>
    <w:rsid w:val="00650811"/>
    <w:rsid w:val="00661D3E"/>
    <w:rsid w:val="00692627"/>
    <w:rsid w:val="0069684D"/>
    <w:rsid w:val="006969E7"/>
    <w:rsid w:val="006A0CB4"/>
    <w:rsid w:val="006A3643"/>
    <w:rsid w:val="006A66C1"/>
    <w:rsid w:val="006B10C2"/>
    <w:rsid w:val="006B2B7E"/>
    <w:rsid w:val="006B2DE1"/>
    <w:rsid w:val="006B53CC"/>
    <w:rsid w:val="006C2A29"/>
    <w:rsid w:val="006C2E08"/>
    <w:rsid w:val="006C3424"/>
    <w:rsid w:val="006C4EB8"/>
    <w:rsid w:val="006C64CF"/>
    <w:rsid w:val="006C767F"/>
    <w:rsid w:val="006C7D2E"/>
    <w:rsid w:val="006D17B1"/>
    <w:rsid w:val="006D309B"/>
    <w:rsid w:val="006D4752"/>
    <w:rsid w:val="006D708A"/>
    <w:rsid w:val="006E14C1"/>
    <w:rsid w:val="006E1FA1"/>
    <w:rsid w:val="006E614E"/>
    <w:rsid w:val="006F0292"/>
    <w:rsid w:val="006F27FA"/>
    <w:rsid w:val="006F2BC5"/>
    <w:rsid w:val="006F416B"/>
    <w:rsid w:val="006F519B"/>
    <w:rsid w:val="00713675"/>
    <w:rsid w:val="00715823"/>
    <w:rsid w:val="007253EF"/>
    <w:rsid w:val="00737B93"/>
    <w:rsid w:val="00745BF0"/>
    <w:rsid w:val="00751EA3"/>
    <w:rsid w:val="007615FE"/>
    <w:rsid w:val="00764BAF"/>
    <w:rsid w:val="0076655C"/>
    <w:rsid w:val="007742DC"/>
    <w:rsid w:val="00780417"/>
    <w:rsid w:val="00791437"/>
    <w:rsid w:val="007967CA"/>
    <w:rsid w:val="007B0C2C"/>
    <w:rsid w:val="007B1387"/>
    <w:rsid w:val="007B278E"/>
    <w:rsid w:val="007B5CA2"/>
    <w:rsid w:val="007C1F3D"/>
    <w:rsid w:val="007C5C23"/>
    <w:rsid w:val="007E2A26"/>
    <w:rsid w:val="007F2348"/>
    <w:rsid w:val="007F4757"/>
    <w:rsid w:val="0080323D"/>
    <w:rsid w:val="00803F07"/>
    <w:rsid w:val="0080749A"/>
    <w:rsid w:val="00821FB8"/>
    <w:rsid w:val="00822ACD"/>
    <w:rsid w:val="00855C66"/>
    <w:rsid w:val="00871EE4"/>
    <w:rsid w:val="00894ECE"/>
    <w:rsid w:val="008954DF"/>
    <w:rsid w:val="008A34D3"/>
    <w:rsid w:val="008B293F"/>
    <w:rsid w:val="008B7371"/>
    <w:rsid w:val="008C3026"/>
    <w:rsid w:val="008C7408"/>
    <w:rsid w:val="008D2347"/>
    <w:rsid w:val="008D3DDB"/>
    <w:rsid w:val="008D61CE"/>
    <w:rsid w:val="008F1BB4"/>
    <w:rsid w:val="008F3B04"/>
    <w:rsid w:val="008F573F"/>
    <w:rsid w:val="009034EC"/>
    <w:rsid w:val="0093067A"/>
    <w:rsid w:val="00941C60"/>
    <w:rsid w:val="00941FD1"/>
    <w:rsid w:val="0094443D"/>
    <w:rsid w:val="0096297B"/>
    <w:rsid w:val="00966D11"/>
    <w:rsid w:val="00966D42"/>
    <w:rsid w:val="00971689"/>
    <w:rsid w:val="0097170F"/>
    <w:rsid w:val="00973E90"/>
    <w:rsid w:val="00975B07"/>
    <w:rsid w:val="00980B4A"/>
    <w:rsid w:val="00984BB1"/>
    <w:rsid w:val="0099164D"/>
    <w:rsid w:val="009947BA"/>
    <w:rsid w:val="009B3E8A"/>
    <w:rsid w:val="009D3627"/>
    <w:rsid w:val="009D7080"/>
    <w:rsid w:val="009E3D0A"/>
    <w:rsid w:val="009E51FC"/>
    <w:rsid w:val="009E68E0"/>
    <w:rsid w:val="009E7474"/>
    <w:rsid w:val="009F1D28"/>
    <w:rsid w:val="009F6BC0"/>
    <w:rsid w:val="009F7618"/>
    <w:rsid w:val="00A04D23"/>
    <w:rsid w:val="00A06766"/>
    <w:rsid w:val="00A1241B"/>
    <w:rsid w:val="00A13765"/>
    <w:rsid w:val="00A21B12"/>
    <w:rsid w:val="00A23F80"/>
    <w:rsid w:val="00A30261"/>
    <w:rsid w:val="00A40B3B"/>
    <w:rsid w:val="00A46E98"/>
    <w:rsid w:val="00A4781B"/>
    <w:rsid w:val="00A47C6A"/>
    <w:rsid w:val="00A5227F"/>
    <w:rsid w:val="00A6352B"/>
    <w:rsid w:val="00A66980"/>
    <w:rsid w:val="00A701B5"/>
    <w:rsid w:val="00A714BB"/>
    <w:rsid w:val="00A77147"/>
    <w:rsid w:val="00A824F2"/>
    <w:rsid w:val="00A92D8F"/>
    <w:rsid w:val="00AB2988"/>
    <w:rsid w:val="00AB2A81"/>
    <w:rsid w:val="00AB3F66"/>
    <w:rsid w:val="00AB7999"/>
    <w:rsid w:val="00AD3292"/>
    <w:rsid w:val="00AE1684"/>
    <w:rsid w:val="00AE262E"/>
    <w:rsid w:val="00AE7AF0"/>
    <w:rsid w:val="00AF0527"/>
    <w:rsid w:val="00B13A1E"/>
    <w:rsid w:val="00B35BD0"/>
    <w:rsid w:val="00B500CA"/>
    <w:rsid w:val="00B6369C"/>
    <w:rsid w:val="00B86314"/>
    <w:rsid w:val="00B91556"/>
    <w:rsid w:val="00B93FFA"/>
    <w:rsid w:val="00BA1C2E"/>
    <w:rsid w:val="00BC200B"/>
    <w:rsid w:val="00BC4756"/>
    <w:rsid w:val="00BC69A4"/>
    <w:rsid w:val="00BD05CC"/>
    <w:rsid w:val="00BD1F7A"/>
    <w:rsid w:val="00BE0680"/>
    <w:rsid w:val="00BE305F"/>
    <w:rsid w:val="00BE7BA3"/>
    <w:rsid w:val="00BF2B37"/>
    <w:rsid w:val="00BF5682"/>
    <w:rsid w:val="00BF7108"/>
    <w:rsid w:val="00BF7B09"/>
    <w:rsid w:val="00C05260"/>
    <w:rsid w:val="00C059B9"/>
    <w:rsid w:val="00C076B9"/>
    <w:rsid w:val="00C13356"/>
    <w:rsid w:val="00C20A95"/>
    <w:rsid w:val="00C2692F"/>
    <w:rsid w:val="00C3207C"/>
    <w:rsid w:val="00C36619"/>
    <w:rsid w:val="00C400E1"/>
    <w:rsid w:val="00C41187"/>
    <w:rsid w:val="00C41A64"/>
    <w:rsid w:val="00C4699F"/>
    <w:rsid w:val="00C52347"/>
    <w:rsid w:val="00C55247"/>
    <w:rsid w:val="00C56120"/>
    <w:rsid w:val="00C63C31"/>
    <w:rsid w:val="00C757A0"/>
    <w:rsid w:val="00C760DE"/>
    <w:rsid w:val="00C82630"/>
    <w:rsid w:val="00C85B4E"/>
    <w:rsid w:val="00C87578"/>
    <w:rsid w:val="00C907F7"/>
    <w:rsid w:val="00CA2103"/>
    <w:rsid w:val="00CB21E8"/>
    <w:rsid w:val="00CB6B99"/>
    <w:rsid w:val="00CB7A4F"/>
    <w:rsid w:val="00CE4C87"/>
    <w:rsid w:val="00CE544A"/>
    <w:rsid w:val="00D01361"/>
    <w:rsid w:val="00D11E1C"/>
    <w:rsid w:val="00D1328A"/>
    <w:rsid w:val="00D160B0"/>
    <w:rsid w:val="00D16C1F"/>
    <w:rsid w:val="00D17F94"/>
    <w:rsid w:val="00D223FC"/>
    <w:rsid w:val="00D26D1E"/>
    <w:rsid w:val="00D33FBF"/>
    <w:rsid w:val="00D427B3"/>
    <w:rsid w:val="00D474CF"/>
    <w:rsid w:val="00D5547E"/>
    <w:rsid w:val="00D566E2"/>
    <w:rsid w:val="00D70454"/>
    <w:rsid w:val="00D8270A"/>
    <w:rsid w:val="00D860E2"/>
    <w:rsid w:val="00D869A1"/>
    <w:rsid w:val="00D9337A"/>
    <w:rsid w:val="00DA413F"/>
    <w:rsid w:val="00DA4584"/>
    <w:rsid w:val="00DA47BC"/>
    <w:rsid w:val="00DA614B"/>
    <w:rsid w:val="00DB7AD7"/>
    <w:rsid w:val="00DC3060"/>
    <w:rsid w:val="00DC4B06"/>
    <w:rsid w:val="00DE0FB2"/>
    <w:rsid w:val="00DE2CA6"/>
    <w:rsid w:val="00DE3705"/>
    <w:rsid w:val="00DE781A"/>
    <w:rsid w:val="00DF093E"/>
    <w:rsid w:val="00DF5D4E"/>
    <w:rsid w:val="00E01F42"/>
    <w:rsid w:val="00E043C2"/>
    <w:rsid w:val="00E05CAA"/>
    <w:rsid w:val="00E06F46"/>
    <w:rsid w:val="00E171B1"/>
    <w:rsid w:val="00E206D6"/>
    <w:rsid w:val="00E31760"/>
    <w:rsid w:val="00E3366E"/>
    <w:rsid w:val="00E35FEC"/>
    <w:rsid w:val="00E42E9C"/>
    <w:rsid w:val="00E508A1"/>
    <w:rsid w:val="00E52086"/>
    <w:rsid w:val="00E543A6"/>
    <w:rsid w:val="00E551C4"/>
    <w:rsid w:val="00E60479"/>
    <w:rsid w:val="00E61D73"/>
    <w:rsid w:val="00E65486"/>
    <w:rsid w:val="00E72AC7"/>
    <w:rsid w:val="00E73684"/>
    <w:rsid w:val="00E818D6"/>
    <w:rsid w:val="00E87F7A"/>
    <w:rsid w:val="00E94B3E"/>
    <w:rsid w:val="00E96BD7"/>
    <w:rsid w:val="00EA0DB1"/>
    <w:rsid w:val="00EA0EE9"/>
    <w:rsid w:val="00ED52CA"/>
    <w:rsid w:val="00ED5860"/>
    <w:rsid w:val="00EE149B"/>
    <w:rsid w:val="00EE35C9"/>
    <w:rsid w:val="00EF32F8"/>
    <w:rsid w:val="00F02373"/>
    <w:rsid w:val="00F03F3C"/>
    <w:rsid w:val="00F05ECA"/>
    <w:rsid w:val="00F122B1"/>
    <w:rsid w:val="00F25344"/>
    <w:rsid w:val="00F26E21"/>
    <w:rsid w:val="00F3566E"/>
    <w:rsid w:val="00F375FB"/>
    <w:rsid w:val="00F41AC1"/>
    <w:rsid w:val="00F4367A"/>
    <w:rsid w:val="00F445B1"/>
    <w:rsid w:val="00F45CD4"/>
    <w:rsid w:val="00F66DCA"/>
    <w:rsid w:val="00F72C48"/>
    <w:rsid w:val="00F74F53"/>
    <w:rsid w:val="00F7606D"/>
    <w:rsid w:val="00F81670"/>
    <w:rsid w:val="00F82024"/>
    <w:rsid w:val="00F865A3"/>
    <w:rsid w:val="00F95BC9"/>
    <w:rsid w:val="00F96B7E"/>
    <w:rsid w:val="00F97676"/>
    <w:rsid w:val="00FA2BE9"/>
    <w:rsid w:val="00FA624C"/>
    <w:rsid w:val="00FB3277"/>
    <w:rsid w:val="00FB3B71"/>
    <w:rsid w:val="00FD0FAC"/>
    <w:rsid w:val="00FD1517"/>
    <w:rsid w:val="00FD1DFA"/>
    <w:rsid w:val="00FD4966"/>
    <w:rsid w:val="00FE57DC"/>
    <w:rsid w:val="00FF095A"/>
    <w:rsid w:val="012460D6"/>
    <w:rsid w:val="018DE3CD"/>
    <w:rsid w:val="0287E82A"/>
    <w:rsid w:val="02AB56F3"/>
    <w:rsid w:val="0710BB9B"/>
    <w:rsid w:val="08612AF7"/>
    <w:rsid w:val="086B0F04"/>
    <w:rsid w:val="08A8E222"/>
    <w:rsid w:val="0939A38A"/>
    <w:rsid w:val="09EA6934"/>
    <w:rsid w:val="0A996ACD"/>
    <w:rsid w:val="0AFF6EB2"/>
    <w:rsid w:val="0BC4DFF5"/>
    <w:rsid w:val="0BCDF171"/>
    <w:rsid w:val="0C26E3CE"/>
    <w:rsid w:val="0C9B31B2"/>
    <w:rsid w:val="0F8EB7D2"/>
    <w:rsid w:val="10D6FE06"/>
    <w:rsid w:val="114C5F09"/>
    <w:rsid w:val="1200FACE"/>
    <w:rsid w:val="12E744BB"/>
    <w:rsid w:val="13D64D59"/>
    <w:rsid w:val="1611F3DF"/>
    <w:rsid w:val="17513DD5"/>
    <w:rsid w:val="175C3AB3"/>
    <w:rsid w:val="18A47893"/>
    <w:rsid w:val="1924BDDD"/>
    <w:rsid w:val="1AE45F59"/>
    <w:rsid w:val="1D080B8E"/>
    <w:rsid w:val="1D2FA919"/>
    <w:rsid w:val="1D79CE75"/>
    <w:rsid w:val="1F2FCD71"/>
    <w:rsid w:val="2187760D"/>
    <w:rsid w:val="22227BEC"/>
    <w:rsid w:val="229BB4EA"/>
    <w:rsid w:val="29941B10"/>
    <w:rsid w:val="29C91C3A"/>
    <w:rsid w:val="2B7BAFE9"/>
    <w:rsid w:val="2BB29E7E"/>
    <w:rsid w:val="2C0F9C71"/>
    <w:rsid w:val="2C133272"/>
    <w:rsid w:val="2E6D5454"/>
    <w:rsid w:val="2F2A85A0"/>
    <w:rsid w:val="2FC2F104"/>
    <w:rsid w:val="32D5C128"/>
    <w:rsid w:val="33B7281E"/>
    <w:rsid w:val="33FF7DAA"/>
    <w:rsid w:val="361E7983"/>
    <w:rsid w:val="37FFB4D7"/>
    <w:rsid w:val="395C47E3"/>
    <w:rsid w:val="397B3F40"/>
    <w:rsid w:val="398A4FBE"/>
    <w:rsid w:val="39A05735"/>
    <w:rsid w:val="3CC14F5D"/>
    <w:rsid w:val="3D3B0069"/>
    <w:rsid w:val="3D9882EA"/>
    <w:rsid w:val="3DF14DDC"/>
    <w:rsid w:val="3EBA0DA8"/>
    <w:rsid w:val="3EF71E4E"/>
    <w:rsid w:val="3F74E53E"/>
    <w:rsid w:val="3FBA2EED"/>
    <w:rsid w:val="40063A47"/>
    <w:rsid w:val="40774643"/>
    <w:rsid w:val="41571A7F"/>
    <w:rsid w:val="42ABF483"/>
    <w:rsid w:val="42DDDBA8"/>
    <w:rsid w:val="4327659D"/>
    <w:rsid w:val="437E7628"/>
    <w:rsid w:val="4506A15D"/>
    <w:rsid w:val="45BBD153"/>
    <w:rsid w:val="47F273E0"/>
    <w:rsid w:val="4B84F9CA"/>
    <w:rsid w:val="4C2D167E"/>
    <w:rsid w:val="4C36344A"/>
    <w:rsid w:val="4E780D21"/>
    <w:rsid w:val="4F43C41E"/>
    <w:rsid w:val="4F966FB6"/>
    <w:rsid w:val="5201B486"/>
    <w:rsid w:val="5353493B"/>
    <w:rsid w:val="5602BFF8"/>
    <w:rsid w:val="561E3DD4"/>
    <w:rsid w:val="5808269C"/>
    <w:rsid w:val="5832B0E0"/>
    <w:rsid w:val="5B818A7E"/>
    <w:rsid w:val="5C2B989B"/>
    <w:rsid w:val="5CBE517D"/>
    <w:rsid w:val="5D71F95F"/>
    <w:rsid w:val="5D81E474"/>
    <w:rsid w:val="5E6B8486"/>
    <w:rsid w:val="657286C4"/>
    <w:rsid w:val="65912E93"/>
    <w:rsid w:val="6705CB2F"/>
    <w:rsid w:val="67763C94"/>
    <w:rsid w:val="68A4BF98"/>
    <w:rsid w:val="69410224"/>
    <w:rsid w:val="69C0F1C8"/>
    <w:rsid w:val="6A38635F"/>
    <w:rsid w:val="6A5B87C7"/>
    <w:rsid w:val="6AB83EFA"/>
    <w:rsid w:val="6C68FDE1"/>
    <w:rsid w:val="6D8A7C5A"/>
    <w:rsid w:val="6EF1E5C9"/>
    <w:rsid w:val="6F06DF03"/>
    <w:rsid w:val="6F7A1C87"/>
    <w:rsid w:val="6FD7F7BA"/>
    <w:rsid w:val="709410E8"/>
    <w:rsid w:val="70BB03AA"/>
    <w:rsid w:val="70CE5F5A"/>
    <w:rsid w:val="7126238E"/>
    <w:rsid w:val="719C242E"/>
    <w:rsid w:val="7337D733"/>
    <w:rsid w:val="739D4E10"/>
    <w:rsid w:val="7437B097"/>
    <w:rsid w:val="74DD5E36"/>
    <w:rsid w:val="76DC391E"/>
    <w:rsid w:val="79E8E1A6"/>
    <w:rsid w:val="7A731415"/>
    <w:rsid w:val="7ACC6696"/>
    <w:rsid w:val="7BF71614"/>
    <w:rsid w:val="7C39A059"/>
    <w:rsid w:val="7DA2DC1C"/>
    <w:rsid w:val="7E2CE386"/>
    <w:rsid w:val="7ECA0CCF"/>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5"/>
      </w:numPr>
    </w:pPr>
  </w:style>
  <w:style w:type="paragraph" w:styleId="Bulletpoints" w:customStyle="1">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5"/>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TableGrid1" w:customStyle="1">
    <w:name w:val="Table Grid1"/>
    <w:basedOn w:val="TableNormal"/>
    <w:next w:val="TableGrid"/>
    <w:uiPriority w:val="59"/>
    <w:rsid w:val="001A1BA1"/>
    <w:rPr>
      <w:rFonts w:cs="Arial" w:eastAsiaTheme="minorHAns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styleId="FootnoteTextChar" w:customStyle="1">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styleId="dBulletpoints" w:customStyle="1">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styleId="dBulletpointsChar" w:customStyle="1">
    <w:name w:val="dBullet points Char"/>
    <w:link w:val="dBulletpoints"/>
    <w:rsid w:val="009D7080"/>
    <w:rPr>
      <w:sz w:val="24"/>
      <w:szCs w:val="24"/>
      <w:lang w:eastAsia="en-US"/>
    </w:rPr>
  </w:style>
  <w:style w:type="character" w:styleId="CommentTextChar" w:customStyle="1">
    <w:name w:val="Comment Text Char"/>
    <w:basedOn w:val="DefaultParagraphFont"/>
    <w:link w:val="CommentText"/>
    <w:rsid w:val="00226F8A"/>
    <w:rPr>
      <w:color w:val="000000"/>
    </w:rPr>
  </w:style>
  <w:style w:type="paragraph" w:styleId="dNormParatext" w:customStyle="1">
    <w:name w:val="dNormPara text"/>
    <w:basedOn w:val="Normal"/>
    <w:link w:val="dNormParatextChar"/>
    <w:qFormat/>
    <w:rsid w:val="00226F8A"/>
    <w:pPr>
      <w:ind w:left="567"/>
    </w:pPr>
    <w:rPr>
      <w:color w:val="auto"/>
      <w:lang w:eastAsia="en-US"/>
    </w:rPr>
  </w:style>
  <w:style w:type="character" w:styleId="dNormParatextChar" w:customStyle="1">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B0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eur01.safelinks.protection.outlook.com/?url=https%3A%2F%2Fmycouncil.oxford.gov.uk%2FmgA.aspx%3FM%3D8652%26LLL%3D0&amp;data=05%7C02%7Ckprotheroe%40oxfordcitycouncil.mail.onmicrosoft.com%7C6893f045b35f40a5a84908ddf68d1d13%7C9f3d0f395e2b4f889d43e9344f9aa02d%7C0%7C0%7C638937808161815197%7CUnknown%7CTWFpbGZsb3d8eyJFbXB0eU1hcGkiOnRydWUsIlYiOiIwLjAuMDAwMCIsIlAiOiJXaW4zMiIsIkFOIjoiTWFpbCIsIldUIjoyfQ%3D%3D%7C0%7C%7C%7C&amp;sdata=vRG7Km3%2FdQ7VZwBvjTLjfw%2FonnZ2AT1084jUQFXBbQ0%3D&amp;reserved=0"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ycouncil.oxford.gov.uk/mgIssueHistoryHome.aspx?IId=40405&amp;PlanId=537&amp;RPID=43283240" TargetMode="External" Id="rId11" /><Relationship Type="http://schemas.openxmlformats.org/officeDocument/2006/relationships/numbering" Target="numbering.xml" Id="rId5" /><Relationship Type="http://schemas.openxmlformats.org/officeDocument/2006/relationships/image" Target="media/image3.jp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fontTable" Target="fontTable.xml" Id="rId22" /><Relationship Type="http://schemas.openxmlformats.org/officeDocument/2006/relationships/image" Target="/media/image3.png" Id="rId343683993" /></Relationships>
</file>

<file path=word/_rels/footer2.xml.rels><?xml version="1.0" encoding="UTF-8" standalone="yes"?>
<Relationships xmlns="http://schemas.openxmlformats.org/package/2006/relationships"><Relationship Id="rId1" Type="http://schemas.openxmlformats.org/officeDocument/2006/relationships/hyperlink" Target="mailto:acforwardplan@oxford.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70084659A8C14A869EF91DDC71B369" ma:contentTypeVersion="4" ma:contentTypeDescription="Create a new document." ma:contentTypeScope="" ma:versionID="1bef9870b4cf41f2705c813fc741edcd">
  <xsd:schema xmlns:xsd="http://www.w3.org/2001/XMLSchema" xmlns:xs="http://www.w3.org/2001/XMLSchema" xmlns:p="http://schemas.microsoft.com/office/2006/metadata/properties" xmlns:ns2="ac7a786f-a2c7-4d9b-96a8-3d484e57d929" targetNamespace="http://schemas.microsoft.com/office/2006/metadata/properties" ma:root="true" ma:fieldsID="79fddb1682badac180f0e3c21b57d876" ns2:_="">
    <xsd:import namespace="ac7a786f-a2c7-4d9b-96a8-3d484e57d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a786f-a2c7-4d9b-96a8-3d484e57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B0856-D55F-464F-911C-FF77E047235A}">
  <ds:schemaRefs>
    <ds:schemaRef ds:uri="http://www.w3.org/XML/1998/namespace"/>
    <ds:schemaRef ds:uri="http://schemas.microsoft.com/office/2006/documentManagement/types"/>
    <ds:schemaRef ds:uri="ac7a786f-a2c7-4d9b-96a8-3d484e57d929"/>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10315C2F-EC31-4A52-B890-F7B1EA9A2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a786f-a2c7-4d9b-96a8-3d484e57d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creator>jmitchell</dc:creator>
  <keywords>OxCityCouncil Report</keywords>
  <lastModifiedBy>MILLER Alex</lastModifiedBy>
  <revision>4</revision>
  <lastPrinted>2015-07-03T13:50:00.0000000Z</lastPrinted>
  <dcterms:created xsi:type="dcterms:W3CDTF">2025-10-08T15:24:00.0000000Z</dcterms:created>
  <dcterms:modified xsi:type="dcterms:W3CDTF">2025-10-09T09:57:50.4836460Z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0x010100A470084659A8C14A869EF91DDC71B369</vt:lpwstr>
  </property>
</Properties>
</file>